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020103">
        <w:rPr>
          <w:b/>
          <w:sz w:val="24"/>
          <w:szCs w:val="24"/>
          <w:lang w:eastAsia="ko-KR"/>
        </w:rPr>
        <w:t>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16</w:t>
      </w:r>
      <w:r w:rsidR="00836435">
        <w:rPr>
          <w:b/>
          <w:i/>
          <w:noProof/>
          <w:sz w:val="24"/>
          <w:szCs w:val="24"/>
          <w:lang w:eastAsia="ko-KR"/>
        </w:rPr>
        <w:t>6738</w:t>
      </w:r>
    </w:p>
    <w:bookmarkEnd w:id="0"/>
    <w:bookmarkEnd w:id="1"/>
    <w:p w:rsidR="006D2ED0" w:rsidRPr="00DD3A0A" w:rsidRDefault="00020103" w:rsidP="006D2ED0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>
        <w:rPr>
          <w:rFonts w:eastAsia="MS Mincho" w:cs="Arial"/>
          <w:b/>
          <w:bCs/>
          <w:sz w:val="24"/>
          <w:lang w:val="en-US" w:eastAsia="ja-JP"/>
        </w:rPr>
        <w:t>Gothenburg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>,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>
        <w:rPr>
          <w:rFonts w:eastAsia="MS Mincho" w:cs="Arial"/>
          <w:b/>
          <w:bCs/>
          <w:sz w:val="24"/>
          <w:lang w:val="en-US" w:eastAsia="ja-JP"/>
        </w:rPr>
        <w:t>Sweden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>2</w:t>
      </w:r>
      <w:r w:rsidR="00EC6D1B">
        <w:rPr>
          <w:rFonts w:eastAsia="MS Mincho" w:cs="Arial"/>
          <w:b/>
          <w:bCs/>
          <w:sz w:val="24"/>
          <w:lang w:val="en-US" w:eastAsia="ja-JP"/>
        </w:rPr>
        <w:t>2</w:t>
      </w:r>
      <w:r w:rsidR="00EC6D1B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nd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 xml:space="preserve">- 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>2</w:t>
      </w:r>
      <w:r w:rsidR="00EC6D1B">
        <w:rPr>
          <w:rFonts w:eastAsia="MS Mincho" w:cs="Arial"/>
          <w:b/>
          <w:bCs/>
          <w:sz w:val="24"/>
          <w:lang w:val="en-US" w:eastAsia="ja-JP"/>
        </w:rPr>
        <w:t>6</w:t>
      </w:r>
      <w:r w:rsidR="00DD3A0A"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th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 w:rsidR="00EC6D1B">
        <w:rPr>
          <w:rFonts w:eastAsia="MS Mincho" w:cs="Arial"/>
          <w:b/>
          <w:bCs/>
          <w:sz w:val="24"/>
          <w:lang w:val="en-US" w:eastAsia="ja-JP"/>
        </w:rPr>
        <w:t>August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 xml:space="preserve"> 201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36435">
        <w:rPr>
          <w:rFonts w:ascii="Arial" w:hAnsi="Arial"/>
          <w:sz w:val="24"/>
          <w:lang w:eastAsia="ko-KR"/>
        </w:rPr>
        <w:t>7.2</w:t>
      </w:r>
      <w:r w:rsidR="00242E7E">
        <w:rPr>
          <w:rFonts w:ascii="Arial" w:hAnsi="Arial"/>
          <w:sz w:val="24"/>
          <w:lang w:eastAsia="ko-KR"/>
        </w:rPr>
        <w:t>.</w:t>
      </w:r>
      <w:r w:rsidR="00836435">
        <w:rPr>
          <w:rFonts w:ascii="Arial" w:hAnsi="Arial"/>
          <w:sz w:val="24"/>
          <w:lang w:eastAsia="ko-KR"/>
        </w:rPr>
        <w:t>4.3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36435" w:rsidRPr="00836435">
        <w:rPr>
          <w:rFonts w:ascii="Arial" w:hAnsi="Arial"/>
          <w:sz w:val="24"/>
        </w:rPr>
        <w:t>Simulation results for precoder cycling based on semi-open-loop transmission</w:t>
      </w:r>
    </w:p>
    <w:p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055C55" w:rsidRDefault="00055C55" w:rsidP="00AC3BC2">
      <w:pPr>
        <w:pStyle w:val="maintext"/>
        <w:ind w:firstLine="400"/>
      </w:pPr>
      <w:r>
        <w:t xml:space="preserve">In RAN1#85, the following agreement </w:t>
      </w:r>
      <w:r w:rsidR="00F367AB">
        <w:t xml:space="preserve">was made </w:t>
      </w:r>
      <w:r w:rsidR="005862F6">
        <w:t xml:space="preserve">[1], </w:t>
      </w:r>
      <w:r w:rsidR="00F367AB">
        <w:t xml:space="preserve">which includes specification support for </w:t>
      </w:r>
      <w:r w:rsidR="00D46B6B">
        <w:t>DMRS based semi-open-loop transmission</w:t>
      </w:r>
      <w:r w:rsidR="00F367AB">
        <w:t xml:space="preserve"> (highlighted in yellow)</w:t>
      </w:r>
      <w:r>
        <w:t>.</w:t>
      </w:r>
    </w:p>
    <w:p w:rsidR="00D46B6B" w:rsidRPr="00F76687" w:rsidRDefault="00D46B6B" w:rsidP="00D46B6B">
      <w:pPr>
        <w:rPr>
          <w:b/>
          <w:highlight w:val="green"/>
          <w:u w:val="single"/>
          <w:lang w:val="en-US"/>
        </w:rPr>
      </w:pPr>
      <w:r w:rsidRPr="00F76687">
        <w:rPr>
          <w:b/>
          <w:highlight w:val="green"/>
          <w:u w:val="single"/>
          <w:lang w:val="en-US"/>
        </w:rPr>
        <w:t>Agreements:</w:t>
      </w:r>
    </w:p>
    <w:p w:rsidR="00D46B6B" w:rsidRDefault="00D46B6B" w:rsidP="00D46B6B">
      <w:pPr>
        <w:numPr>
          <w:ilvl w:val="0"/>
          <w:numId w:val="37"/>
        </w:numPr>
        <w:spacing w:after="0"/>
        <w:rPr>
          <w:lang w:val="en-US"/>
        </w:rPr>
      </w:pPr>
      <w:r>
        <w:rPr>
          <w:lang w:val="en-US"/>
        </w:rPr>
        <w:t>UL DMRS Enhancement</w:t>
      </w:r>
    </w:p>
    <w:p w:rsidR="00D46B6B" w:rsidRPr="006715E4" w:rsidRDefault="00D46B6B" w:rsidP="00D46B6B">
      <w:pPr>
        <w:numPr>
          <w:ilvl w:val="0"/>
          <w:numId w:val="37"/>
        </w:numPr>
        <w:tabs>
          <w:tab w:val="clear" w:pos="720"/>
          <w:tab w:val="num" w:pos="1080"/>
        </w:tabs>
        <w:spacing w:after="0"/>
        <w:ind w:left="1080"/>
        <w:rPr>
          <w:lang w:val="en-US"/>
        </w:rPr>
      </w:pPr>
      <w:r w:rsidRPr="006715E4">
        <w:rPr>
          <w:lang w:val="en-US"/>
        </w:rPr>
        <w:t xml:space="preserve">Specify enhancement on uplink DMRS to support (more than 2) orthogonal DMRS for MU-MIMO with partially overlapping BWs allocation, i.e. </w:t>
      </w:r>
      <w:r>
        <w:rPr>
          <w:lang w:val="en-US"/>
        </w:rPr>
        <w:t xml:space="preserve">one of </w:t>
      </w:r>
      <w:r w:rsidRPr="006715E4">
        <w:rPr>
          <w:lang w:val="en-US"/>
        </w:rPr>
        <w:t>IFDMA with OCC2 or new DMRS sequence design</w:t>
      </w:r>
    </w:p>
    <w:p w:rsidR="00D46B6B" w:rsidRDefault="00D46B6B" w:rsidP="00D46B6B">
      <w:pPr>
        <w:numPr>
          <w:ilvl w:val="0"/>
          <w:numId w:val="37"/>
        </w:numPr>
        <w:spacing w:after="0"/>
        <w:rPr>
          <w:lang w:val="en-US"/>
        </w:rPr>
      </w:pPr>
      <w:r>
        <w:rPr>
          <w:lang w:val="en-US"/>
        </w:rPr>
        <w:t>Advanced CSI</w:t>
      </w:r>
    </w:p>
    <w:p w:rsidR="00D46B6B" w:rsidRPr="006715E4" w:rsidRDefault="00D46B6B" w:rsidP="00D46B6B">
      <w:pPr>
        <w:numPr>
          <w:ilvl w:val="0"/>
          <w:numId w:val="38"/>
        </w:numPr>
        <w:tabs>
          <w:tab w:val="clear" w:pos="720"/>
          <w:tab w:val="num" w:pos="1080"/>
        </w:tabs>
        <w:spacing w:after="0"/>
        <w:ind w:left="1080"/>
        <w:rPr>
          <w:lang w:val="en-US"/>
        </w:rPr>
      </w:pPr>
      <w:r w:rsidRPr="006715E4">
        <w:t>Specify enhancement on CSI reporting to improve eNB precoding</w:t>
      </w:r>
      <w:r w:rsidRPr="006715E4">
        <w:rPr>
          <w:lang w:val="en-US"/>
        </w:rPr>
        <w:t>. The specified enhancement is to be selected from the following categories:</w:t>
      </w:r>
    </w:p>
    <w:p w:rsidR="00D46B6B" w:rsidRDefault="00D46B6B" w:rsidP="00D46B6B">
      <w:pPr>
        <w:numPr>
          <w:ilvl w:val="1"/>
          <w:numId w:val="38"/>
        </w:numPr>
        <w:tabs>
          <w:tab w:val="clear" w:pos="1440"/>
          <w:tab w:val="num" w:pos="1800"/>
        </w:tabs>
        <w:spacing w:after="0"/>
        <w:ind w:left="1800"/>
        <w:rPr>
          <w:lang w:val="en-US"/>
        </w:rPr>
      </w:pPr>
      <w:r>
        <w:rPr>
          <w:lang w:val="en-US"/>
        </w:rPr>
        <w:t xml:space="preserve">Enhancements to Rel-13 feedback codebooks (FFS which numbers of antenna ports from the set {8, 12, 16, 20, 24, 28, 32}) that increase CSI resolution through improved beam selection / construction in W1 and/or improved beam/port selection / combining / weighting mechanisms in W2 </w:t>
      </w:r>
    </w:p>
    <w:p w:rsidR="00D46B6B" w:rsidRDefault="00D46B6B" w:rsidP="00D46B6B">
      <w:pPr>
        <w:numPr>
          <w:ilvl w:val="1"/>
          <w:numId w:val="38"/>
        </w:numPr>
        <w:tabs>
          <w:tab w:val="clear" w:pos="1440"/>
          <w:tab w:val="num" w:pos="1800"/>
        </w:tabs>
        <w:spacing w:after="0"/>
        <w:ind w:left="1800"/>
        <w:rPr>
          <w:lang w:val="en-US"/>
        </w:rPr>
      </w:pPr>
      <w:r>
        <w:rPr>
          <w:lang w:val="en-US"/>
        </w:rPr>
        <w:t>Parameters representing channel coefficients, or some reduced space representation thereof including beam combining / weighting with coefficient quantisation or channel quantisation or channel covariance matrix quantisation</w:t>
      </w:r>
    </w:p>
    <w:p w:rsidR="00D46B6B" w:rsidRPr="006715E4" w:rsidRDefault="00D46B6B" w:rsidP="00D46B6B">
      <w:pPr>
        <w:numPr>
          <w:ilvl w:val="2"/>
          <w:numId w:val="38"/>
        </w:numPr>
        <w:tabs>
          <w:tab w:val="clear" w:pos="2160"/>
          <w:tab w:val="num" w:pos="2520"/>
        </w:tabs>
        <w:spacing w:after="0"/>
        <w:ind w:left="2520"/>
        <w:rPr>
          <w:lang w:val="en-US"/>
        </w:rPr>
      </w:pPr>
      <w:r>
        <w:rPr>
          <w:lang w:val="en-US"/>
        </w:rPr>
        <w:t>Uplink physical channel enhancements to carry the representation of channel coefficients can be included if selected</w:t>
      </w:r>
    </w:p>
    <w:p w:rsidR="00D46B6B" w:rsidRPr="006715E4" w:rsidRDefault="00D46B6B" w:rsidP="00D46B6B">
      <w:pPr>
        <w:numPr>
          <w:ilvl w:val="0"/>
          <w:numId w:val="38"/>
        </w:numPr>
        <w:tabs>
          <w:tab w:val="clear" w:pos="720"/>
          <w:tab w:val="num" w:pos="1080"/>
        </w:tabs>
        <w:spacing w:after="0"/>
        <w:ind w:left="1080"/>
        <w:rPr>
          <w:lang w:val="en-US"/>
        </w:rPr>
      </w:pPr>
      <w:r>
        <w:rPr>
          <w:lang w:val="en-US"/>
        </w:rPr>
        <w:t>Also</w:t>
      </w:r>
      <w:r w:rsidRPr="006715E4">
        <w:rPr>
          <w:lang w:val="en-US"/>
        </w:rPr>
        <w:t xml:space="preserve">, interference measurement enhancement </w:t>
      </w:r>
      <w:r w:rsidRPr="006715E4">
        <w:t>can be considered</w:t>
      </w:r>
      <w:r w:rsidRPr="006715E4">
        <w:rPr>
          <w:lang w:val="en-US"/>
        </w:rPr>
        <w:t xml:space="preserve"> </w:t>
      </w:r>
    </w:p>
    <w:p w:rsidR="00D46B6B" w:rsidRPr="00F367AB" w:rsidRDefault="00D46B6B" w:rsidP="00D46B6B">
      <w:pPr>
        <w:numPr>
          <w:ilvl w:val="0"/>
          <w:numId w:val="37"/>
        </w:numPr>
        <w:spacing w:after="0"/>
        <w:rPr>
          <w:highlight w:val="yellow"/>
          <w:lang w:val="en-US"/>
        </w:rPr>
      </w:pPr>
      <w:r w:rsidRPr="00F367AB">
        <w:rPr>
          <w:highlight w:val="yellow"/>
          <w:lang w:val="en-US"/>
        </w:rPr>
        <w:t>DMRS-based semi-open-loop</w:t>
      </w:r>
    </w:p>
    <w:p w:rsidR="00D46B6B" w:rsidRPr="00F367AB" w:rsidRDefault="00D46B6B" w:rsidP="00D46B6B">
      <w:pPr>
        <w:numPr>
          <w:ilvl w:val="0"/>
          <w:numId w:val="39"/>
        </w:numPr>
        <w:spacing w:after="0"/>
        <w:rPr>
          <w:highlight w:val="yellow"/>
          <w:lang w:val="en-US"/>
        </w:rPr>
      </w:pPr>
      <w:r w:rsidRPr="00F367AB">
        <w:rPr>
          <w:highlight w:val="yellow"/>
          <w:lang w:val="en-US"/>
        </w:rPr>
        <w:t xml:space="preserve">Specify </w:t>
      </w:r>
      <w:r w:rsidRPr="00F367AB">
        <w:rPr>
          <w:highlight w:val="yellow"/>
        </w:rPr>
        <w:t xml:space="preserve">enhancement to support DMRS-based semi-open-loop transmission with the existing numbers of CSI-RS ports as well as the newly supported number of CSI-RS ports, in the following areas </w:t>
      </w:r>
    </w:p>
    <w:p w:rsidR="00D46B6B" w:rsidRPr="00F367AB" w:rsidRDefault="00D46B6B" w:rsidP="00D46B6B">
      <w:pPr>
        <w:numPr>
          <w:ilvl w:val="1"/>
          <w:numId w:val="39"/>
        </w:numPr>
        <w:spacing w:after="0"/>
        <w:rPr>
          <w:highlight w:val="yellow"/>
          <w:lang w:val="en-US"/>
        </w:rPr>
      </w:pPr>
      <w:r w:rsidRPr="00F367AB">
        <w:rPr>
          <w:highlight w:val="yellow"/>
        </w:rPr>
        <w:t xml:space="preserve">CSI reporting scheme with partial PMI feedback, and/or </w:t>
      </w:r>
    </w:p>
    <w:p w:rsidR="00D46B6B" w:rsidRPr="00F367AB" w:rsidRDefault="00D46B6B" w:rsidP="00D46B6B">
      <w:pPr>
        <w:numPr>
          <w:ilvl w:val="1"/>
          <w:numId w:val="39"/>
        </w:numPr>
        <w:spacing w:after="0"/>
        <w:rPr>
          <w:highlight w:val="yellow"/>
          <w:lang w:val="en-US"/>
        </w:rPr>
      </w:pPr>
      <w:r w:rsidRPr="00F367AB">
        <w:rPr>
          <w:highlight w:val="yellow"/>
        </w:rPr>
        <w:t xml:space="preserve">Transmission method with transmit diversity and/or precoder cycling, with possible enhancements to precoder bundling </w:t>
      </w:r>
    </w:p>
    <w:p w:rsidR="00D46B6B" w:rsidRPr="00F367AB" w:rsidRDefault="00D46B6B" w:rsidP="00D46B6B">
      <w:pPr>
        <w:numPr>
          <w:ilvl w:val="1"/>
          <w:numId w:val="39"/>
        </w:numPr>
        <w:spacing w:after="0"/>
        <w:rPr>
          <w:highlight w:val="yellow"/>
          <w:lang w:val="en-US"/>
        </w:rPr>
      </w:pPr>
      <w:r w:rsidRPr="00F367AB">
        <w:rPr>
          <w:highlight w:val="yellow"/>
        </w:rPr>
        <w:t>Associated enhancements to DMRS if required</w:t>
      </w:r>
    </w:p>
    <w:p w:rsidR="000F3460" w:rsidRPr="00F367AB" w:rsidRDefault="00D46B6B" w:rsidP="00D46B6B">
      <w:pPr>
        <w:numPr>
          <w:ilvl w:val="0"/>
          <w:numId w:val="39"/>
        </w:numPr>
        <w:spacing w:after="0"/>
        <w:rPr>
          <w:highlight w:val="yellow"/>
          <w:lang w:val="en-US"/>
        </w:rPr>
      </w:pPr>
      <w:r w:rsidRPr="00F367AB">
        <w:rPr>
          <w:highlight w:val="yellow"/>
          <w:lang w:val="en-US"/>
        </w:rPr>
        <w:t xml:space="preserve">Further system level simulations (e.g. considering wideband scheduling and BLER targets at high speed) will be conducted in order to identify the exact scheme to be specified. </w:t>
      </w:r>
    </w:p>
    <w:p w:rsidR="00AD6148" w:rsidRPr="008C3FDD" w:rsidRDefault="005862F6" w:rsidP="005862F6">
      <w:pPr>
        <w:pStyle w:val="maintext"/>
        <w:ind w:firstLineChars="0" w:firstLine="0"/>
      </w:pPr>
      <w:r>
        <w:t xml:space="preserve">The companion contribution [2] proposes a precoder cycling based semi-open-loop transmission scheme </w:t>
      </w:r>
      <w:r w:rsidR="006057EF">
        <w:t>relying on</w:t>
      </w:r>
      <w:r>
        <w:t xml:space="preserve"> partial PMI feedback (W1 only)</w:t>
      </w:r>
      <w:r w:rsidR="006057EF">
        <w:t>.</w:t>
      </w:r>
      <w:r>
        <w:t xml:space="preserve"> </w:t>
      </w:r>
      <w:r w:rsidR="00C6489F" w:rsidRPr="008C3FDD">
        <w:t>This contribution</w:t>
      </w:r>
      <w:r>
        <w:t xml:space="preserve"> provides simulation results </w:t>
      </w:r>
      <w:r w:rsidR="006057EF">
        <w:t xml:space="preserve">to show performance </w:t>
      </w:r>
      <w:r w:rsidR="00D200A3">
        <w:t xml:space="preserve">gain </w:t>
      </w:r>
      <w:r w:rsidR="006057EF">
        <w:t xml:space="preserve">of the proposed </w:t>
      </w:r>
      <w:r w:rsidR="00D200A3">
        <w:t xml:space="preserve">semi-open-loop </w:t>
      </w:r>
      <w:r w:rsidR="006057EF">
        <w:t>scheme</w:t>
      </w:r>
      <w:r w:rsidR="00D200A3">
        <w:t xml:space="preserve"> over the closed loop transmission</w:t>
      </w:r>
      <w:r>
        <w:t>.</w:t>
      </w:r>
      <w:r w:rsidR="00560F2D">
        <w:t xml:space="preserve"> </w:t>
      </w:r>
    </w:p>
    <w:p w:rsidR="003E633B" w:rsidRDefault="00D200A3" w:rsidP="00AD6148">
      <w:pPr>
        <w:pStyle w:val="Heading1"/>
      </w:pPr>
      <w:r>
        <w:t xml:space="preserve">Semi-open-loop transmission schemes for evaluation </w:t>
      </w:r>
    </w:p>
    <w:p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0A2AEF" w:rsidRDefault="000A2AEF" w:rsidP="001667E2">
      <w:pPr>
        <w:spacing w:after="0" w:line="288" w:lineRule="auto"/>
        <w:jc w:val="both"/>
        <w:rPr>
          <w:lang w:eastAsia="ko-KR"/>
        </w:rPr>
      </w:pPr>
      <w:r>
        <w:rPr>
          <w:lang w:eastAsia="ko-KR"/>
        </w:rPr>
        <w:t xml:space="preserve">In this evaluation, </w:t>
      </w:r>
      <w:r w:rsidR="00651389">
        <w:rPr>
          <w:lang w:eastAsia="ko-KR"/>
        </w:rPr>
        <w:t>we assume that a UE feeds back the first PMI (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1,1</w:t>
      </w:r>
      <w:r w:rsidR="00651389">
        <w:rPr>
          <w:lang w:eastAsia="ko-KR"/>
        </w:rPr>
        <w:t>,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1,2</w:t>
      </w:r>
      <w:r w:rsidR="00651389">
        <w:rPr>
          <w:lang w:eastAsia="ko-KR"/>
        </w:rPr>
        <w:t xml:space="preserve">) using Rel. 13 Class A codebook for precoder cycling based semi-open-loop </w:t>
      </w:r>
      <w:r w:rsidR="008C4D79">
        <w:rPr>
          <w:lang w:eastAsia="ko-KR"/>
        </w:rPr>
        <w:t xml:space="preserve">(semi-OL) </w:t>
      </w:r>
      <w:r w:rsidR="00651389">
        <w:rPr>
          <w:lang w:eastAsia="ko-KR"/>
        </w:rPr>
        <w:t>transmission by the eNB. Depending on whether co-phase for the two polarizations is cycled or not, we have the</w:t>
      </w:r>
      <w:r>
        <w:rPr>
          <w:lang w:eastAsia="ko-KR"/>
        </w:rPr>
        <w:t xml:space="preserve"> following </w:t>
      </w:r>
      <w:r w:rsidR="00651389">
        <w:rPr>
          <w:lang w:eastAsia="ko-KR"/>
        </w:rPr>
        <w:t>two types</w:t>
      </w:r>
      <w:r>
        <w:rPr>
          <w:lang w:eastAsia="ko-KR"/>
        </w:rPr>
        <w:t xml:space="preserve"> of rank 1 precoder cycling:</w:t>
      </w:r>
    </w:p>
    <w:p w:rsidR="000A2AEF" w:rsidRDefault="000A2AEF" w:rsidP="001667E2">
      <w:pPr>
        <w:pStyle w:val="ListParagraph"/>
        <w:numPr>
          <w:ilvl w:val="0"/>
          <w:numId w:val="40"/>
        </w:numPr>
        <w:spacing w:line="288" w:lineRule="auto"/>
        <w:ind w:leftChars="0"/>
        <w:contextualSpacing/>
        <w:jc w:val="both"/>
        <w:rPr>
          <w:lang w:eastAsia="ko-KR"/>
        </w:rPr>
      </w:pPr>
      <w:r w:rsidRPr="000A2AEF">
        <w:rPr>
          <w:lang w:eastAsia="ko-KR"/>
        </w:rPr>
        <w:t>4</w:t>
      </w:r>
      <w:r>
        <w:rPr>
          <w:lang w:eastAsia="ko-KR"/>
        </w:rPr>
        <w:t xml:space="preserve"> </w:t>
      </w:r>
      <w:r w:rsidRPr="002C4FD4">
        <w:rPr>
          <w:lang w:eastAsia="ko-KR"/>
        </w:rPr>
        <w:t>beams</w:t>
      </w:r>
      <w:r>
        <w:rPr>
          <w:lang w:eastAsia="ko-KR"/>
        </w:rPr>
        <w:t xml:space="preserve"> (indicated by </w:t>
      </w:r>
      <w:r w:rsidR="00651389">
        <w:rPr>
          <w:lang w:eastAsia="ko-KR"/>
        </w:rPr>
        <w:t>(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1,1</w:t>
      </w:r>
      <w:r w:rsidR="00651389">
        <w:rPr>
          <w:lang w:eastAsia="ko-KR"/>
        </w:rPr>
        <w:t>,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1,2</w:t>
      </w:r>
      <w:r w:rsidR="00651389">
        <w:rPr>
          <w:lang w:eastAsia="ko-KR"/>
        </w:rPr>
        <w:t>)</w:t>
      </w:r>
      <w:r>
        <w:rPr>
          <w:lang w:eastAsia="ko-KR"/>
        </w:rPr>
        <w:t xml:space="preserve"> feedback)</w:t>
      </w:r>
      <w:r w:rsidRPr="002C4FD4">
        <w:rPr>
          <w:lang w:eastAsia="ko-KR"/>
        </w:rPr>
        <w:t xml:space="preserve"> are </w:t>
      </w:r>
      <w:r>
        <w:rPr>
          <w:lang w:eastAsia="ko-KR"/>
        </w:rPr>
        <w:t>cycled</w:t>
      </w:r>
      <w:r w:rsidRPr="002C4FD4">
        <w:rPr>
          <w:lang w:eastAsia="ko-KR"/>
        </w:rPr>
        <w:t xml:space="preserve"> through by the eNB without</w:t>
      </w:r>
      <w:r>
        <w:rPr>
          <w:lang w:eastAsia="ko-KR"/>
        </w:rPr>
        <w:t xml:space="preserve"> any</w:t>
      </w:r>
      <w:r w:rsidRPr="002C4FD4">
        <w:rPr>
          <w:lang w:eastAsia="ko-KR"/>
        </w:rPr>
        <w:t xml:space="preserve"> co-phase cycling.</w:t>
      </w:r>
      <w:r>
        <w:rPr>
          <w:lang w:eastAsia="ko-KR"/>
        </w:rPr>
        <w:t xml:space="preserve"> </w:t>
      </w:r>
      <w:r w:rsidR="00651389">
        <w:rPr>
          <w:lang w:eastAsia="ko-KR"/>
        </w:rPr>
        <w:t>For example, t</w:t>
      </w:r>
      <w:r w:rsidRPr="002C4FD4">
        <w:rPr>
          <w:lang w:eastAsia="ko-KR"/>
        </w:rPr>
        <w:t xml:space="preserve">he co-phase </w:t>
      </w:r>
      <w:r>
        <w:rPr>
          <w:lang w:eastAsia="ko-KR"/>
        </w:rPr>
        <w:t xml:space="preserve">for each beam is fixed and </w:t>
      </w:r>
      <w:r w:rsidRPr="002C4FD4">
        <w:rPr>
          <w:lang w:eastAsia="ko-KR"/>
        </w:rPr>
        <w:t>is reported by the UE, where this reporting is WB.</w:t>
      </w:r>
    </w:p>
    <w:p w:rsidR="000A2AEF" w:rsidRDefault="00651389" w:rsidP="001667E2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B</w:t>
      </w:r>
      <w:r w:rsidR="000A2AEF" w:rsidRPr="002C4FD4">
        <w:rPr>
          <w:lang w:eastAsia="ko-KR"/>
        </w:rPr>
        <w:t xml:space="preserve">oth </w:t>
      </w:r>
      <w:r w:rsidR="000A2AEF">
        <w:rPr>
          <w:lang w:eastAsia="ko-KR"/>
        </w:rPr>
        <w:t xml:space="preserve">4 </w:t>
      </w:r>
      <w:r w:rsidR="000A2AEF" w:rsidRPr="002C4FD4">
        <w:rPr>
          <w:lang w:eastAsia="ko-KR"/>
        </w:rPr>
        <w:t xml:space="preserve">beams </w:t>
      </w:r>
      <w:r w:rsidR="000A2AEF">
        <w:rPr>
          <w:lang w:eastAsia="ko-KR"/>
        </w:rPr>
        <w:t xml:space="preserve">(indicated by </w:t>
      </w:r>
      <w:r>
        <w:rPr>
          <w:lang w:eastAsia="ko-KR"/>
        </w:rPr>
        <w:t>(</w:t>
      </w:r>
      <w:r w:rsidRPr="00651389">
        <w:rPr>
          <w:i/>
          <w:lang w:eastAsia="ko-KR"/>
        </w:rPr>
        <w:t>i</w:t>
      </w:r>
      <w:r w:rsidRPr="00651389">
        <w:rPr>
          <w:vertAlign w:val="subscript"/>
          <w:lang w:eastAsia="ko-KR"/>
        </w:rPr>
        <w:t>1,1</w:t>
      </w:r>
      <w:r>
        <w:rPr>
          <w:lang w:eastAsia="ko-KR"/>
        </w:rPr>
        <w:t>,</w:t>
      </w:r>
      <w:r w:rsidRPr="00651389">
        <w:rPr>
          <w:i/>
          <w:lang w:eastAsia="ko-KR"/>
        </w:rPr>
        <w:t>i</w:t>
      </w:r>
      <w:r w:rsidRPr="00651389">
        <w:rPr>
          <w:vertAlign w:val="subscript"/>
          <w:lang w:eastAsia="ko-KR"/>
        </w:rPr>
        <w:t>1,2</w:t>
      </w:r>
      <w:r>
        <w:rPr>
          <w:lang w:eastAsia="ko-KR"/>
        </w:rPr>
        <w:t xml:space="preserve">) </w:t>
      </w:r>
      <w:r w:rsidR="000A2AEF">
        <w:rPr>
          <w:lang w:eastAsia="ko-KR"/>
        </w:rPr>
        <w:t xml:space="preserve">feedback) </w:t>
      </w:r>
      <w:r w:rsidR="000A2AEF" w:rsidRPr="002C4FD4">
        <w:rPr>
          <w:lang w:eastAsia="ko-KR"/>
        </w:rPr>
        <w:t xml:space="preserve">and </w:t>
      </w:r>
      <w:r w:rsidR="000A2AEF" w:rsidRPr="000A2AEF">
        <w:rPr>
          <w:lang w:eastAsia="ko-KR"/>
        </w:rPr>
        <w:t>4</w:t>
      </w:r>
      <w:r w:rsidR="000A2AEF">
        <w:rPr>
          <w:i/>
          <w:lang w:eastAsia="ko-KR"/>
        </w:rPr>
        <w:t xml:space="preserve"> </w:t>
      </w:r>
      <w:r w:rsidR="000A2AEF" w:rsidRPr="000A2AEF">
        <w:rPr>
          <w:lang w:eastAsia="ko-KR"/>
        </w:rPr>
        <w:t xml:space="preserve">QPSK </w:t>
      </w:r>
      <w:r w:rsidR="000A2AEF" w:rsidRPr="002C4FD4">
        <w:rPr>
          <w:lang w:eastAsia="ko-KR"/>
        </w:rPr>
        <w:t xml:space="preserve">co-phase values are </w:t>
      </w:r>
      <w:r w:rsidR="000A2AEF">
        <w:rPr>
          <w:lang w:eastAsia="ko-KR"/>
        </w:rPr>
        <w:t>cycled</w:t>
      </w:r>
      <w:r w:rsidR="000A2AEF" w:rsidRPr="002C4FD4">
        <w:rPr>
          <w:lang w:eastAsia="ko-KR"/>
        </w:rPr>
        <w:t xml:space="preserve"> through by the eNB</w:t>
      </w:r>
      <w:r w:rsidR="000A2AEF">
        <w:rPr>
          <w:lang w:eastAsia="ko-KR"/>
        </w:rPr>
        <w:t>.</w:t>
      </w:r>
    </w:p>
    <w:p w:rsidR="00402D5B" w:rsidRDefault="0063186E" w:rsidP="001667E2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>For precoder cycling,</w:t>
      </w:r>
      <w:r w:rsidR="000A2AEF">
        <w:rPr>
          <w:lang w:eastAsia="ko-KR"/>
        </w:rPr>
        <w:t xml:space="preserve"> two different granularities, namely RB level and RE level, are considered</w:t>
      </w:r>
      <w:r w:rsidR="00651389">
        <w:rPr>
          <w:lang w:eastAsia="ko-KR"/>
        </w:rPr>
        <w:t xml:space="preserve"> </w:t>
      </w:r>
      <w:r>
        <w:rPr>
          <w:lang w:eastAsia="ko-KR"/>
        </w:rPr>
        <w:t>in this evaluation</w:t>
      </w:r>
      <w:r w:rsidR="000A2AEF">
        <w:rPr>
          <w:lang w:eastAsia="ko-KR"/>
        </w:rPr>
        <w:t xml:space="preserve">. </w:t>
      </w:r>
      <w:r w:rsidR="00402D5B">
        <w:rPr>
          <w:lang w:eastAsia="ko-KR"/>
        </w:rPr>
        <w:t>The</w:t>
      </w:r>
      <w:r>
        <w:rPr>
          <w:lang w:eastAsia="ko-KR"/>
        </w:rPr>
        <w:t xml:space="preserve"> candidate</w:t>
      </w:r>
      <w:r w:rsidR="00402D5B">
        <w:rPr>
          <w:lang w:eastAsia="ko-KR"/>
        </w:rPr>
        <w:t xml:space="preserve"> pre-coder cycling </w:t>
      </w:r>
      <w:r>
        <w:rPr>
          <w:lang w:eastAsia="ko-KR"/>
        </w:rPr>
        <w:t xml:space="preserve">schemes </w:t>
      </w:r>
      <w:r w:rsidR="00402D5B">
        <w:rPr>
          <w:lang w:eastAsia="ko-KR"/>
        </w:rPr>
        <w:t xml:space="preserve">is </w:t>
      </w:r>
      <w:r>
        <w:rPr>
          <w:lang w:eastAsia="ko-KR"/>
        </w:rPr>
        <w:t xml:space="preserve">summarized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_Ref458666502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1667E2">
        <w:t xml:space="preserve">Table </w:t>
      </w:r>
      <w:r w:rsidR="001667E2"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  <w:r w:rsidR="00402D5B">
        <w:rPr>
          <w:lang w:eastAsia="ko-KR"/>
        </w:rPr>
        <w:t xml:space="preserve"> An illustration of rank 1 pre-coder cycling for 4 beams </w:t>
      </w:r>
      <w:r w:rsidR="00402D5B">
        <w:rPr>
          <w:lang w:eastAsia="ko-KR"/>
        </w:rPr>
        <w:lastRenderedPageBreak/>
        <w:t>and 4 co-phase values is s</w:t>
      </w:r>
      <w:r w:rsidR="001667E2">
        <w:rPr>
          <w:lang w:eastAsia="ko-KR"/>
        </w:rPr>
        <w:t>h</w:t>
      </w:r>
      <w:r w:rsidR="00402D5B">
        <w:rPr>
          <w:lang w:eastAsia="ko-KR"/>
        </w:rPr>
        <w:t xml:space="preserve">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_Ref458666541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1667E2">
        <w:t xml:space="preserve">Figure </w:t>
      </w:r>
      <w:r w:rsidR="001667E2"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 xml:space="preserve"> </w:t>
      </w:r>
      <w:r w:rsidR="00402D5B">
        <w:rPr>
          <w:lang w:eastAsia="ko-KR"/>
        </w:rPr>
        <w:t xml:space="preserve">assuming cycling direction is in frequency domain. For simplicity, pre-coder cycling across one OFDM symbol is shown in the figure.  </w:t>
      </w:r>
    </w:p>
    <w:p w:rsidR="00402D5B" w:rsidRDefault="00402D5B" w:rsidP="00402D5B">
      <w:pPr>
        <w:pStyle w:val="Caption"/>
        <w:keepNext/>
        <w:jc w:val="center"/>
      </w:pPr>
      <w:bookmarkStart w:id="4" w:name="_Ref4586665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1</w:t>
      </w:r>
      <w:r>
        <w:fldChar w:fldCharType="end"/>
      </w:r>
      <w:bookmarkEnd w:id="4"/>
      <w:r>
        <w:t xml:space="preserve">: Precoder </w:t>
      </w:r>
      <w:r w:rsidR="0063186E">
        <w:t>cycling</w:t>
      </w:r>
      <w:r>
        <w:t xml:space="preserve"> schemes</w:t>
      </w:r>
    </w:p>
    <w:tbl>
      <w:tblPr>
        <w:tblStyle w:val="GridTable4"/>
        <w:tblW w:w="6120" w:type="dxa"/>
        <w:jc w:val="center"/>
        <w:tblLook w:val="0420" w:firstRow="1" w:lastRow="0" w:firstColumn="0" w:lastColumn="0" w:noHBand="0" w:noVBand="1"/>
      </w:tblPr>
      <w:tblGrid>
        <w:gridCol w:w="2040"/>
        <w:gridCol w:w="2040"/>
        <w:gridCol w:w="2040"/>
      </w:tblGrid>
      <w:tr w:rsidR="002D3802" w:rsidRPr="002D3802" w:rsidTr="006504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FFFFFF"/>
                <w:kern w:val="24"/>
                <w:sz w:val="16"/>
                <w:szCs w:val="16"/>
                <w:lang w:val="en-US"/>
              </w:rPr>
              <w:t>Scheme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FFFFFF"/>
                <w:kern w:val="24"/>
                <w:sz w:val="16"/>
                <w:szCs w:val="16"/>
                <w:lang w:val="en-US"/>
              </w:rPr>
              <w:t>Beam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FFFFFF"/>
                <w:kern w:val="24"/>
                <w:sz w:val="16"/>
                <w:szCs w:val="16"/>
                <w:lang w:val="en-US"/>
              </w:rPr>
              <w:t>Co-phase</w:t>
            </w:r>
          </w:p>
        </w:tc>
      </w:tr>
      <w:tr w:rsidR="002D3802" w:rsidRPr="002D3802" w:rsidTr="00650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Semi-OL scheme 0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No cycling (WB)</w:t>
            </w:r>
          </w:p>
        </w:tc>
      </w:tr>
      <w:tr w:rsidR="002D3802" w:rsidRPr="002D3802" w:rsidTr="0065048F">
        <w:trPr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Semi-OL scheme 1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No cycling (WB)</w:t>
            </w:r>
          </w:p>
        </w:tc>
      </w:tr>
      <w:tr w:rsidR="002D3802" w:rsidRPr="002D3802" w:rsidTr="00650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Semi-OL scheme 2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</w:tr>
      <w:tr w:rsidR="002D3802" w:rsidRPr="002D3802" w:rsidTr="0065048F">
        <w:trPr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Semi-OL scheme 3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</w:tr>
      <w:tr w:rsidR="002D3802" w:rsidRPr="002D3802" w:rsidTr="00650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Semi-OL scheme 4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</w:tr>
      <w:tr w:rsidR="002D3802" w:rsidRPr="002D3802" w:rsidTr="0065048F">
        <w:trPr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Semi-OL scheme 5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</w:tr>
    </w:tbl>
    <w:p w:rsidR="0065048F" w:rsidRDefault="0065048F" w:rsidP="0063186E">
      <w:pPr>
        <w:pStyle w:val="maintext"/>
        <w:keepNext/>
        <w:ind w:firstLineChars="0" w:firstLine="360"/>
        <w:jc w:val="center"/>
      </w:pPr>
    </w:p>
    <w:p w:rsidR="0063186E" w:rsidRDefault="0063186E" w:rsidP="0063186E">
      <w:pPr>
        <w:pStyle w:val="maintext"/>
        <w:keepNext/>
        <w:ind w:firstLineChars="0" w:firstLine="360"/>
        <w:jc w:val="center"/>
      </w:pPr>
      <w:r w:rsidRPr="002D3802">
        <w:rPr>
          <w:noProof/>
          <w:lang w:val="en-US" w:eastAsia="en-US"/>
        </w:rPr>
        <w:drawing>
          <wp:inline distT="0" distB="0" distL="0" distR="0" wp14:anchorId="3602EBDF" wp14:editId="291FA26E">
            <wp:extent cx="4901624" cy="4396154"/>
            <wp:effectExtent l="0" t="0" r="0" b="4445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3662" cy="4397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86E" w:rsidRDefault="0063186E" w:rsidP="0063186E">
      <w:pPr>
        <w:pStyle w:val="Caption"/>
        <w:jc w:val="center"/>
      </w:pPr>
      <w:bookmarkStart w:id="5" w:name="_Ref458666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667E2">
        <w:rPr>
          <w:noProof/>
        </w:rPr>
        <w:t>1</w:t>
      </w:r>
      <w:r>
        <w:fldChar w:fldCharType="end"/>
      </w:r>
      <w:bookmarkEnd w:id="5"/>
      <w:r>
        <w:t>: An illustration of rank 1 precoder (beam and co-phase) cycling</w:t>
      </w:r>
    </w:p>
    <w:p w:rsidR="001173EB" w:rsidRDefault="00D200A3" w:rsidP="001173EB">
      <w:pPr>
        <w:pStyle w:val="Heading1"/>
      </w:pPr>
      <w:r>
        <w:t>Simulation results</w:t>
      </w:r>
    </w:p>
    <w:p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8C4D79" w:rsidRDefault="008C4D79" w:rsidP="008C4D79">
      <w:pPr>
        <w:spacing w:before="60" w:after="60" w:line="288" w:lineRule="auto"/>
        <w:ind w:right="14"/>
        <w:jc w:val="both"/>
      </w:pPr>
      <w:r>
        <w:t xml:space="preserve">To compare the performance of candidate semi-OL schemes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_Ref458666502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1667E2">
        <w:t xml:space="preserve">Table </w:t>
      </w:r>
      <w:r w:rsidR="001667E2">
        <w:rPr>
          <w:noProof/>
        </w:rPr>
        <w:t>1</w:t>
      </w:r>
      <w:r>
        <w:rPr>
          <w:lang w:eastAsia="ko-KR"/>
        </w:rPr>
        <w:fldChar w:fldCharType="end"/>
      </w:r>
      <w:r>
        <w:t xml:space="preserve">,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 w:rsidRPr="004E5326">
        <w:rPr>
          <w:rFonts w:hint="eastAsia"/>
        </w:rPr>
        <w:t xml:space="preserve"> </w:t>
      </w:r>
      <w:r w:rsidRPr="004E5326">
        <w:t>UMa-</w:t>
      </w:r>
      <w:r>
        <w:t>5</w:t>
      </w:r>
      <w:r w:rsidRPr="004E5326">
        <w:t>00m channel model</w:t>
      </w:r>
      <w:r w:rsidR="004D10F3">
        <w:t xml:space="preserve"> (36.814)</w:t>
      </w:r>
      <w:r w:rsidRPr="004E5326">
        <w:rPr>
          <w:rFonts w:hint="eastAsia"/>
        </w:rPr>
        <w:t xml:space="preserve"> in </w:t>
      </w:r>
      <w:r w:rsidRPr="004E5326">
        <w:t>heavy (70% targ</w:t>
      </w:r>
      <w:r w:rsidR="004D10F3">
        <w:t>et RU) traffic loading scenario, where UE speed is assumed to be 120 kmph. The</w:t>
      </w:r>
      <w:r>
        <w:t xml:space="preserve"> SU-MIMO </w:t>
      </w:r>
      <w:r w:rsidR="004D10F3">
        <w:t xml:space="preserve">rank 1 transmission with SB scheduling (where SB is 4 PRBs) </w:t>
      </w:r>
      <w:r>
        <w:t xml:space="preserve">is considered in the simulation. </w:t>
      </w:r>
      <w:r w:rsidR="004D10F3">
        <w:t>T</w:t>
      </w:r>
      <w:r>
        <w:t xml:space="preserve">he detailed results are </w:t>
      </w:r>
      <w:r w:rsidRPr="00C369D5">
        <w:t>provided in</w:t>
      </w:r>
      <w:r w:rsidR="00264B0A">
        <w:t xml:space="preserve"> </w:t>
      </w:r>
      <w:r w:rsidR="00264B0A">
        <w:fldChar w:fldCharType="begin"/>
      </w:r>
      <w:r w:rsidR="00264B0A">
        <w:instrText xml:space="preserve"> REF _Ref458669255 \h </w:instrText>
      </w:r>
      <w:r w:rsidR="00264B0A">
        <w:fldChar w:fldCharType="separate"/>
      </w:r>
      <w:r w:rsidR="001667E2">
        <w:t xml:space="preserve">Table </w:t>
      </w:r>
      <w:r w:rsidR="001667E2">
        <w:rPr>
          <w:noProof/>
        </w:rPr>
        <w:t>3</w:t>
      </w:r>
      <w:r w:rsidR="00264B0A">
        <w:fldChar w:fldCharType="end"/>
      </w:r>
      <w:r w:rsidR="00264B0A">
        <w:t xml:space="preserve"> and </w:t>
      </w:r>
      <w:r w:rsidR="00264B0A">
        <w:fldChar w:fldCharType="begin"/>
      </w:r>
      <w:r w:rsidR="00264B0A">
        <w:instrText xml:space="preserve"> REF _Ref458669299 \h </w:instrText>
      </w:r>
      <w:r w:rsidR="00264B0A">
        <w:fldChar w:fldCharType="separate"/>
      </w:r>
      <w:r w:rsidR="001667E2">
        <w:t xml:space="preserve">Table </w:t>
      </w:r>
      <w:r w:rsidR="001667E2">
        <w:rPr>
          <w:noProof/>
        </w:rPr>
        <w:t>4</w:t>
      </w:r>
      <w:r w:rsidR="00264B0A">
        <w:fldChar w:fldCharType="end"/>
      </w:r>
      <w:r w:rsidR="00264B0A">
        <w:t xml:space="preserve"> </w:t>
      </w:r>
      <w:r w:rsidRPr="00C369D5">
        <w:t>in the</w:t>
      </w:r>
      <w:r>
        <w:t xml:space="preserve"> </w:t>
      </w:r>
      <w:r w:rsidRPr="00DA1243">
        <w:t>Appendix</w:t>
      </w:r>
      <w:r>
        <w:t xml:space="preserve">. </w:t>
      </w:r>
      <w:r w:rsidRPr="004E5326">
        <w:t>The results are provided for 16 antenna ports with</w:t>
      </w:r>
      <w:r w:rsidRPr="004E5326">
        <w:rPr>
          <w:rFonts w:hint="eastAsia"/>
        </w:rPr>
        <w:t xml:space="preserve"> </w:t>
      </w:r>
      <w:r w:rsidRPr="004E5326">
        <w:t>(</w:t>
      </w:r>
      <w:r w:rsidRPr="004E5326">
        <w:rPr>
          <w:i/>
        </w:rPr>
        <w:t>N</w:t>
      </w:r>
      <w:r w:rsidRPr="004E5326">
        <w:rPr>
          <w:vertAlign w:val="subscript"/>
        </w:rPr>
        <w:t>1</w:t>
      </w:r>
      <w:r w:rsidRPr="004E5326">
        <w:t>,</w:t>
      </w:r>
      <w:r w:rsidRPr="004E5326">
        <w:rPr>
          <w:i/>
        </w:rPr>
        <w:t>N</w:t>
      </w:r>
      <w:r w:rsidRPr="004E5326">
        <w:rPr>
          <w:vertAlign w:val="subscript"/>
        </w:rPr>
        <w:t>2</w:t>
      </w:r>
      <w:r w:rsidRPr="004E5326">
        <w:rPr>
          <w:rFonts w:hint="eastAsia"/>
        </w:rPr>
        <w:t>) = (</w:t>
      </w:r>
      <w:r w:rsidRPr="004E5326">
        <w:t>2,4)</w:t>
      </w:r>
      <w:r w:rsidR="00B31BF1">
        <w:t xml:space="preserve"> and 32 antenna ports with </w:t>
      </w:r>
      <w:r w:rsidR="00B31BF1" w:rsidRPr="004E5326">
        <w:t>(</w:t>
      </w:r>
      <w:r w:rsidR="00B31BF1" w:rsidRPr="004E5326">
        <w:rPr>
          <w:i/>
        </w:rPr>
        <w:t>N</w:t>
      </w:r>
      <w:r w:rsidR="00B31BF1" w:rsidRPr="004E5326">
        <w:rPr>
          <w:vertAlign w:val="subscript"/>
        </w:rPr>
        <w:t>1</w:t>
      </w:r>
      <w:r w:rsidR="00B31BF1" w:rsidRPr="004E5326">
        <w:t>,</w:t>
      </w:r>
      <w:r w:rsidR="00B31BF1" w:rsidRPr="004E5326">
        <w:rPr>
          <w:i/>
        </w:rPr>
        <w:t>N</w:t>
      </w:r>
      <w:r w:rsidR="00B31BF1" w:rsidRPr="004E5326">
        <w:rPr>
          <w:vertAlign w:val="subscript"/>
        </w:rPr>
        <w:t>2</w:t>
      </w:r>
      <w:r w:rsidR="00B31BF1" w:rsidRPr="004E5326">
        <w:rPr>
          <w:rFonts w:hint="eastAsia"/>
        </w:rPr>
        <w:t>) = (</w:t>
      </w:r>
      <w:r w:rsidR="00B31BF1" w:rsidRPr="004E5326">
        <w:t>2,</w:t>
      </w:r>
      <w:r w:rsidR="00B31BF1">
        <w:t>8</w:t>
      </w:r>
      <w:r w:rsidR="00B31BF1" w:rsidRPr="004E5326">
        <w:t>)</w:t>
      </w:r>
      <w:r>
        <w:t>, where</w:t>
      </w:r>
      <w:r w:rsidRPr="004E5326">
        <w:t xml:space="preserve"> we assume that the first dimension is horizontal and the second dimension is vertical. </w:t>
      </w:r>
      <w:r>
        <w:t xml:space="preserve">The </w:t>
      </w:r>
      <w:proofErr w:type="spellStart"/>
      <w:r>
        <w:t>downtilt</w:t>
      </w:r>
      <w:proofErr w:type="spellEnd"/>
      <w:r>
        <w:t xml:space="preserve"> angles in the elevation domain are chosen according to </w:t>
      </w:r>
      <w:r>
        <w:fldChar w:fldCharType="begin"/>
      </w:r>
      <w:r>
        <w:instrText xml:space="preserve"> REF _Ref446972587 \n \h  \* MERGEFORMAT </w:instrText>
      </w:r>
      <w:r>
        <w:fldChar w:fldCharType="separate"/>
      </w:r>
      <w:r w:rsidR="001667E2" w:rsidRPr="001667E2">
        <w:rPr>
          <w:b/>
          <w:bCs/>
          <w:lang w:val="en-US"/>
        </w:rPr>
        <w:t>[3]</w:t>
      </w:r>
      <w:r>
        <w:fldChar w:fldCharType="end"/>
      </w:r>
      <w:r>
        <w:t xml:space="preserve">. In these simulations, </w:t>
      </w:r>
      <w:r>
        <w:rPr>
          <w:rFonts w:hint="eastAsia"/>
        </w:rPr>
        <w:t xml:space="preserve">full-port </w:t>
      </w:r>
      <w:r>
        <w:t>non-</w:t>
      </w:r>
      <w:r>
        <w:rPr>
          <w:rFonts w:hint="eastAsia"/>
        </w:rPr>
        <w:t xml:space="preserve">precoded CSI-RS </w:t>
      </w:r>
      <w:r>
        <w:t>is used</w:t>
      </w:r>
      <w:r>
        <w:rPr>
          <w:rFonts w:hint="eastAsia"/>
        </w:rPr>
        <w:t xml:space="preserve"> for CSI estimation, and the corresponding CSI-RS overhead is taken into account in the final throughput calculation.</w:t>
      </w:r>
      <w:r>
        <w:t xml:space="preserve"> </w:t>
      </w:r>
      <w:r>
        <w:rPr>
          <w:rFonts w:hint="eastAsia"/>
        </w:rPr>
        <w:t xml:space="preserve">Cell association </w:t>
      </w:r>
      <w:r>
        <w:t>antenna</w:t>
      </w:r>
      <w:r>
        <w:rPr>
          <w:rFonts w:hint="eastAsia"/>
        </w:rPr>
        <w:t xml:space="preserve"> pattern is approximated by one-TXRU pattern, an</w:t>
      </w:r>
      <w:r w:rsidR="00B31BF1">
        <w:rPr>
          <w:rFonts w:hint="eastAsia"/>
        </w:rPr>
        <w:t xml:space="preserve">d proportional fair scheduling </w:t>
      </w:r>
      <w:r>
        <w:rPr>
          <w:rFonts w:hint="eastAsia"/>
        </w:rPr>
        <w:t>have been used.</w:t>
      </w:r>
      <w:r>
        <w:t xml:space="preserve"> The relevant simulation parameters are enlisted in </w:t>
      </w:r>
      <w:r w:rsidR="00C369D5">
        <w:fldChar w:fldCharType="begin"/>
      </w:r>
      <w:r w:rsidR="00C369D5">
        <w:instrText xml:space="preserve"> REF _Ref450753651 \h </w:instrText>
      </w:r>
      <w:r w:rsidR="00C369D5">
        <w:fldChar w:fldCharType="separate"/>
      </w:r>
      <w:r w:rsidR="001667E2">
        <w:t xml:space="preserve">Table </w:t>
      </w:r>
      <w:r w:rsidR="001667E2">
        <w:rPr>
          <w:noProof/>
        </w:rPr>
        <w:t>2</w:t>
      </w:r>
      <w:r w:rsidR="00C369D5">
        <w:fldChar w:fldCharType="end"/>
      </w:r>
      <w:r w:rsidR="00C369D5">
        <w:t>.</w:t>
      </w:r>
      <w:r>
        <w:t xml:space="preserve"> </w:t>
      </w:r>
      <w:r>
        <w:rPr>
          <w:rFonts w:hint="eastAsia"/>
        </w:rPr>
        <w:t xml:space="preserve">The rest of the simulation assumption is according </w:t>
      </w:r>
      <w:r>
        <w:t xml:space="preserve">to </w:t>
      </w:r>
      <w:r>
        <w:fldChar w:fldCharType="begin"/>
      </w:r>
      <w:r>
        <w:instrText xml:space="preserve"> REF _Ref446972587 \n \h  \* MERGEFORMAT </w:instrText>
      </w:r>
      <w:r>
        <w:fldChar w:fldCharType="separate"/>
      </w:r>
      <w:r w:rsidR="001667E2" w:rsidRPr="001667E2">
        <w:rPr>
          <w:b/>
          <w:bCs/>
          <w:lang w:val="en-US"/>
        </w:rPr>
        <w:t>[3]</w:t>
      </w:r>
      <w:r>
        <w:fldChar w:fldCharType="end"/>
      </w:r>
      <w:r>
        <w:t>.</w:t>
      </w:r>
    </w:p>
    <w:p w:rsidR="008C4D79" w:rsidRDefault="001C0FAC" w:rsidP="00F5167E">
      <w:pPr>
        <w:pStyle w:val="maintext"/>
        <w:ind w:firstLineChars="0" w:firstLine="360"/>
      </w:pPr>
      <w:r>
        <w:lastRenderedPageBreak/>
        <w:t xml:space="preserve">The performance gains with close-loop (CL) transmission as reference are </w:t>
      </w:r>
      <w:r w:rsidRPr="00727EE5">
        <w:t xml:space="preserve">shown in </w:t>
      </w:r>
      <w:r w:rsidR="00727EE5" w:rsidRPr="00727EE5">
        <w:fldChar w:fldCharType="begin"/>
      </w:r>
      <w:r w:rsidR="00727EE5" w:rsidRPr="00727EE5">
        <w:instrText xml:space="preserve"> REF _Ref458669334 \h </w:instrText>
      </w:r>
      <w:r w:rsidR="00727EE5">
        <w:instrText xml:space="preserve"> \* MERGEFORMAT </w:instrText>
      </w:r>
      <w:r w:rsidR="00727EE5" w:rsidRPr="00727EE5">
        <w:fldChar w:fldCharType="separate"/>
      </w:r>
      <w:r w:rsidR="001667E2" w:rsidRPr="001667E2">
        <w:t xml:space="preserve">Figure </w:t>
      </w:r>
      <w:r w:rsidR="001667E2" w:rsidRPr="001667E2">
        <w:rPr>
          <w:noProof/>
        </w:rPr>
        <w:t>2</w:t>
      </w:r>
      <w:r w:rsidR="00727EE5" w:rsidRPr="00727EE5">
        <w:fldChar w:fldCharType="end"/>
      </w:r>
      <w:r w:rsidR="00727EE5" w:rsidRPr="00727EE5">
        <w:t xml:space="preserve"> - </w:t>
      </w:r>
      <w:r w:rsidR="00727EE5" w:rsidRPr="00727EE5">
        <w:fldChar w:fldCharType="begin"/>
      </w:r>
      <w:r w:rsidR="00727EE5" w:rsidRPr="00727EE5">
        <w:instrText xml:space="preserve"> REF _Ref458615600 \h </w:instrText>
      </w:r>
      <w:r w:rsidR="00727EE5">
        <w:instrText xml:space="preserve"> \* MERGEFORMAT </w:instrText>
      </w:r>
      <w:r w:rsidR="00727EE5" w:rsidRPr="00727EE5">
        <w:fldChar w:fldCharType="separate"/>
      </w:r>
      <w:r w:rsidR="001667E2" w:rsidRPr="001667E2">
        <w:t xml:space="preserve">Figure </w:t>
      </w:r>
      <w:r w:rsidR="001667E2" w:rsidRPr="001667E2">
        <w:rPr>
          <w:noProof/>
        </w:rPr>
        <w:t>7</w:t>
      </w:r>
      <w:r w:rsidR="00727EE5" w:rsidRPr="00727EE5">
        <w:fldChar w:fldCharType="end"/>
      </w:r>
      <w:r w:rsidR="00727EE5">
        <w:t xml:space="preserve"> for </w:t>
      </w:r>
      <w:proofErr w:type="spellStart"/>
      <w:r w:rsidR="00727EE5">
        <w:t>Config</w:t>
      </w:r>
      <w:proofErr w:type="spellEnd"/>
      <w:r w:rsidR="00727EE5">
        <w:t xml:space="preserve"> 2, 3, and 4, and 16 and 32 ports</w:t>
      </w:r>
      <w:r>
        <w:t xml:space="preserve">. </w:t>
      </w:r>
      <w:r w:rsidRPr="004E5326">
        <w:t>From these results, we can make the following observation.</w:t>
      </w:r>
    </w:p>
    <w:p w:rsidR="00727EE5" w:rsidRDefault="00727EE5" w:rsidP="00727EE5">
      <w:pPr>
        <w:pStyle w:val="maintext"/>
        <w:ind w:firstLineChars="0" w:firstLine="0"/>
      </w:pPr>
      <w:r>
        <w:rPr>
          <w:b/>
          <w:i/>
        </w:rPr>
        <w:t>Observation</w:t>
      </w:r>
      <w:r w:rsidRPr="00781B37">
        <w:rPr>
          <w:i/>
        </w:rPr>
        <w:t>:</w:t>
      </w:r>
    </w:p>
    <w:p w:rsidR="00727EE5" w:rsidRDefault="00727EE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>Precoder cycling based semi-open-loop transmission shows significant performance gain over closed loop transmission:</w:t>
      </w:r>
      <w:r w:rsidR="00075175" w:rsidRPr="00075175">
        <w:rPr>
          <w:i/>
        </w:rPr>
        <w:t xml:space="preserve"> ~8-20% avg. UPT gain, ~18-65% 5% UPT gain.</w:t>
      </w:r>
    </w:p>
    <w:p w:rsidR="00075175" w:rsidRPr="00075175" w:rsidRDefault="0007517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 xml:space="preserve">Co-phase cycling </w:t>
      </w:r>
      <w:r w:rsidR="003B4785">
        <w:rPr>
          <w:i/>
        </w:rPr>
        <w:t xml:space="preserve">(Scheme 2-5) </w:t>
      </w:r>
      <w:r>
        <w:rPr>
          <w:i/>
        </w:rPr>
        <w:t>achieves additional gain when compared with no co-phase cycling (</w:t>
      </w:r>
      <w:r w:rsidR="003B4785">
        <w:rPr>
          <w:i/>
        </w:rPr>
        <w:t>Scheme 0-1</w:t>
      </w:r>
      <w:r>
        <w:rPr>
          <w:i/>
        </w:rPr>
        <w:t>): ~4-10% additional avg. UPT gain, ~15-35% additional 5% UPT gain</w:t>
      </w:r>
    </w:p>
    <w:p w:rsidR="00727EE5" w:rsidRDefault="0007517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 xml:space="preserve">RE level cycling </w:t>
      </w:r>
      <w:r w:rsidR="003B4785">
        <w:rPr>
          <w:i/>
        </w:rPr>
        <w:t xml:space="preserve">(Schemes 3-5) </w:t>
      </w:r>
      <w:r w:rsidRPr="00075175">
        <w:rPr>
          <w:i/>
        </w:rPr>
        <w:t>achieves additional gain when compared with RB level cycling</w:t>
      </w:r>
      <w:r w:rsidR="003B4785">
        <w:rPr>
          <w:i/>
        </w:rPr>
        <w:t xml:space="preserve"> (Scheme 2)</w:t>
      </w:r>
      <w:r w:rsidRPr="00075175">
        <w:rPr>
          <w:i/>
        </w:rPr>
        <w:t xml:space="preserve">: ~1% additional avg. UPT gain, 6-10% additional 5% UPT gain. </w:t>
      </w:r>
    </w:p>
    <w:p w:rsidR="003B4785" w:rsidRPr="00075175" w:rsidRDefault="00CD4CA1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Performance of Scheme 3</w:t>
      </w:r>
      <w:r w:rsidR="003B4785">
        <w:rPr>
          <w:i/>
        </w:rPr>
        <w:t xml:space="preserve"> (</w:t>
      </w:r>
      <w:r>
        <w:rPr>
          <w:i/>
        </w:rPr>
        <w:t>RB</w:t>
      </w:r>
      <w:r w:rsidR="003B4785">
        <w:rPr>
          <w:i/>
        </w:rPr>
        <w:t xml:space="preserve"> level </w:t>
      </w:r>
      <w:r>
        <w:rPr>
          <w:i/>
        </w:rPr>
        <w:t xml:space="preserve">beam </w:t>
      </w:r>
      <w:r w:rsidR="003B4785">
        <w:rPr>
          <w:i/>
        </w:rPr>
        <w:t>cycling</w:t>
      </w:r>
      <w:r>
        <w:rPr>
          <w:i/>
        </w:rPr>
        <w:t>, RE level co-phase cycling</w:t>
      </w:r>
      <w:r w:rsidR="003B4785">
        <w:rPr>
          <w:i/>
        </w:rPr>
        <w:t>) and Scheme</w:t>
      </w:r>
      <w:r>
        <w:rPr>
          <w:i/>
        </w:rPr>
        <w:t xml:space="preserve"> 5 (RE level beam and co-phase cycling)</w:t>
      </w:r>
      <w:r w:rsidR="003B4785">
        <w:rPr>
          <w:i/>
        </w:rPr>
        <w:t xml:space="preserve"> are very close. </w:t>
      </w:r>
    </w:p>
    <w:p w:rsidR="00CD4CA1" w:rsidRPr="00CD4CA1" w:rsidRDefault="00CD4CA1" w:rsidP="00CD4CA1">
      <w:pPr>
        <w:pStyle w:val="maintext"/>
        <w:ind w:firstLineChars="0" w:firstLine="0"/>
        <w:rPr>
          <w:i/>
        </w:rPr>
      </w:pPr>
      <w:r w:rsidRPr="00CD4CA1">
        <w:rPr>
          <w:i/>
        </w:rPr>
        <w:t>Based on these observations, we make the following proposal.</w:t>
      </w:r>
    </w:p>
    <w:p w:rsidR="00727EE5" w:rsidRDefault="00727EE5" w:rsidP="00CD4CA1">
      <w:pPr>
        <w:pStyle w:val="maintext"/>
        <w:ind w:firstLineChars="0" w:firstLine="0"/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r w:rsidR="00CD4CA1">
        <w:rPr>
          <w:i/>
        </w:rPr>
        <w:t>Precoder cycling based semi-open-loop transmission using W1 only feedback is supported. For precoder cycling, RB level beam cycling and RE level co-phase cycling is supported.</w:t>
      </w:r>
    </w:p>
    <w:p w:rsidR="006F4F1A" w:rsidRDefault="006F4F1A" w:rsidP="0061391A">
      <w:pPr>
        <w:keepNext/>
        <w:jc w:val="center"/>
      </w:pPr>
    </w:p>
    <w:p w:rsidR="00296797" w:rsidRDefault="00296797" w:rsidP="00296797">
      <w:pPr>
        <w:keepNext/>
        <w:jc w:val="center"/>
        <w:sectPr w:rsidR="00296797" w:rsidSect="00872417">
          <w:headerReference w:type="default" r:id="rId9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6797" w:rsidRDefault="00296797" w:rsidP="00296797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2080D1EA" wp14:editId="0901CBA3">
            <wp:extent cx="1920240" cy="3728720"/>
            <wp:effectExtent l="0" t="0" r="3810" b="508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96797" w:rsidRPr="002E6DE8" w:rsidRDefault="00296797" w:rsidP="00296797">
      <w:pPr>
        <w:pStyle w:val="Caption"/>
        <w:jc w:val="center"/>
        <w:rPr>
          <w:sz w:val="16"/>
        </w:rPr>
      </w:pPr>
      <w:bookmarkStart w:id="6" w:name="_Ref458669334"/>
      <w:r w:rsidRPr="002E6DE8">
        <w:rPr>
          <w:sz w:val="16"/>
        </w:rPr>
        <w:t xml:space="preserve">Figure </w:t>
      </w:r>
      <w:r w:rsidRPr="002E6DE8">
        <w:rPr>
          <w:sz w:val="16"/>
        </w:rPr>
        <w:fldChar w:fldCharType="begin"/>
      </w:r>
      <w:r w:rsidRPr="002E6DE8">
        <w:rPr>
          <w:sz w:val="16"/>
        </w:rPr>
        <w:instrText xml:space="preserve"> SEQ Figure \* ARABIC </w:instrText>
      </w:r>
      <w:r w:rsidRPr="002E6DE8">
        <w:rPr>
          <w:sz w:val="16"/>
        </w:rPr>
        <w:fldChar w:fldCharType="separate"/>
      </w:r>
      <w:r w:rsidR="001667E2">
        <w:rPr>
          <w:noProof/>
          <w:sz w:val="16"/>
        </w:rPr>
        <w:t>2</w:t>
      </w:r>
      <w:r w:rsidRPr="002E6DE8">
        <w:rPr>
          <w:sz w:val="16"/>
        </w:rPr>
        <w:fldChar w:fldCharType="end"/>
      </w:r>
      <w:bookmarkEnd w:id="6"/>
      <w:r w:rsidRPr="002E6DE8">
        <w:rPr>
          <w:sz w:val="16"/>
        </w:rPr>
        <w:t xml:space="preserve">: </w:t>
      </w:r>
      <w:r w:rsidR="002E6DE8" w:rsidRPr="002E6DE8">
        <w:rPr>
          <w:sz w:val="16"/>
        </w:rPr>
        <w:t xml:space="preserve">(N1,N2) = (2,4), </w:t>
      </w:r>
      <w:r w:rsidRPr="002E6DE8">
        <w:rPr>
          <w:rFonts w:eastAsia="MS Mincho"/>
          <w:bCs w:val="0"/>
          <w:color w:val="FF0000"/>
          <w:sz w:val="16"/>
        </w:rPr>
        <w:t xml:space="preserve">Config = 2 </w:t>
      </w:r>
    </w:p>
    <w:p w:rsidR="00296797" w:rsidRDefault="00296797" w:rsidP="00296797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24EDE696" wp14:editId="55B3CF13">
            <wp:extent cx="1927225" cy="3729162"/>
            <wp:effectExtent l="0" t="0" r="15875" b="508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96797" w:rsidRPr="00F01A66" w:rsidRDefault="00296797" w:rsidP="00296797">
      <w:pPr>
        <w:pStyle w:val="Caption"/>
        <w:jc w:val="center"/>
        <w:rPr>
          <w:sz w:val="16"/>
          <w:szCs w:val="16"/>
        </w:rPr>
      </w:pPr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3</w:t>
      </w:r>
      <w:r w:rsidRPr="00F01A66">
        <w:rPr>
          <w:sz w:val="16"/>
          <w:szCs w:val="16"/>
        </w:rPr>
        <w:fldChar w:fldCharType="end"/>
      </w:r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 xml:space="preserve">(N1,N2) = (2,4),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3</w:t>
      </w:r>
    </w:p>
    <w:p w:rsidR="00296797" w:rsidRPr="00F01A66" w:rsidRDefault="00296797" w:rsidP="00296797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6E1BE9C9" wp14:editId="3FE4B4B6">
            <wp:extent cx="1884680" cy="3728720"/>
            <wp:effectExtent l="0" t="0" r="1270" b="508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96797" w:rsidRPr="00F01A66" w:rsidRDefault="00296797" w:rsidP="00296797">
      <w:pPr>
        <w:pStyle w:val="Caption"/>
        <w:jc w:val="center"/>
        <w:rPr>
          <w:rFonts w:eastAsia="MS Mincho"/>
          <w:bCs w:val="0"/>
          <w:color w:val="FF0000"/>
          <w:sz w:val="16"/>
          <w:szCs w:val="16"/>
        </w:rPr>
      </w:pPr>
      <w:bookmarkStart w:id="7" w:name="_Ref458669339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4</w:t>
      </w:r>
      <w:r w:rsidRPr="00F01A66">
        <w:rPr>
          <w:sz w:val="16"/>
          <w:szCs w:val="16"/>
        </w:rPr>
        <w:fldChar w:fldCharType="end"/>
      </w:r>
      <w:bookmarkEnd w:id="7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 xml:space="preserve">(N1,N2) = (2,4),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4</w:t>
      </w:r>
    </w:p>
    <w:p w:rsidR="00296797" w:rsidRDefault="00296797" w:rsidP="0061391A">
      <w:pPr>
        <w:keepNext/>
        <w:jc w:val="center"/>
        <w:sectPr w:rsidR="00296797" w:rsidSect="0029679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3" w:space="720"/>
        </w:sectPr>
      </w:pPr>
    </w:p>
    <w:p w:rsidR="0061391A" w:rsidRDefault="0061391A" w:rsidP="0061391A">
      <w:pPr>
        <w:keepNext/>
        <w:jc w:val="center"/>
      </w:pPr>
      <w:r w:rsidRPr="005525A0">
        <w:rPr>
          <w:noProof/>
          <w:lang w:val="en-US"/>
        </w:rPr>
        <w:lastRenderedPageBreak/>
        <w:drawing>
          <wp:inline distT="0" distB="0" distL="0" distR="0" wp14:anchorId="4D4C1D5F" wp14:editId="7C0F9B9A">
            <wp:extent cx="1920240" cy="3657600"/>
            <wp:effectExtent l="0" t="0" r="381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1391A" w:rsidRPr="00F01A66" w:rsidRDefault="0061391A" w:rsidP="0061391A">
      <w:pPr>
        <w:pStyle w:val="Caption"/>
        <w:jc w:val="center"/>
        <w:rPr>
          <w:sz w:val="16"/>
          <w:szCs w:val="16"/>
        </w:rPr>
      </w:pPr>
      <w:bookmarkStart w:id="8" w:name="_Ref458615598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5</w:t>
      </w:r>
      <w:r w:rsidRPr="00F01A66">
        <w:rPr>
          <w:sz w:val="16"/>
          <w:szCs w:val="16"/>
        </w:rPr>
        <w:fldChar w:fldCharType="end"/>
      </w:r>
      <w:bookmarkEnd w:id="8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(N1,N2)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r w:rsidR="00F01A66" w:rsidRPr="002E6DE8">
        <w:rPr>
          <w:rFonts w:eastAsia="MS Mincho"/>
          <w:bCs w:val="0"/>
          <w:color w:val="FF0000"/>
          <w:sz w:val="16"/>
        </w:rPr>
        <w:t>Config = 2</w:t>
      </w:r>
    </w:p>
    <w:p w:rsidR="0061391A" w:rsidRPr="00F01A66" w:rsidRDefault="006F4F1A" w:rsidP="0061391A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7DD157D4" wp14:editId="63236E01">
            <wp:extent cx="1927225" cy="3649649"/>
            <wp:effectExtent l="0" t="0" r="15875" b="8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1391A" w:rsidRPr="00F01A66" w:rsidRDefault="0061391A" w:rsidP="0061391A">
      <w:pPr>
        <w:pStyle w:val="Caption"/>
        <w:jc w:val="center"/>
        <w:rPr>
          <w:sz w:val="16"/>
          <w:szCs w:val="16"/>
        </w:rPr>
      </w:pPr>
      <w:bookmarkStart w:id="9" w:name="_Ref458615599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6</w:t>
      </w:r>
      <w:r w:rsidRPr="00F01A66">
        <w:rPr>
          <w:sz w:val="16"/>
          <w:szCs w:val="16"/>
        </w:rPr>
        <w:fldChar w:fldCharType="end"/>
      </w:r>
      <w:bookmarkEnd w:id="9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(N1,N2)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3</w:t>
      </w:r>
    </w:p>
    <w:p w:rsidR="0061391A" w:rsidRPr="00F01A66" w:rsidRDefault="006F4F1A" w:rsidP="0061391A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613FFE4B" wp14:editId="6F0B6C98">
            <wp:extent cx="1884680" cy="3649345"/>
            <wp:effectExtent l="0" t="0" r="1270" b="825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1391A" w:rsidRPr="00F01A66" w:rsidRDefault="0061391A" w:rsidP="0061391A">
      <w:pPr>
        <w:pStyle w:val="Caption"/>
        <w:jc w:val="center"/>
        <w:rPr>
          <w:rFonts w:eastAsia="MS Mincho"/>
          <w:bCs w:val="0"/>
          <w:color w:val="FF0000"/>
          <w:sz w:val="16"/>
          <w:szCs w:val="16"/>
        </w:rPr>
      </w:pPr>
      <w:bookmarkStart w:id="10" w:name="_Ref458615600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7</w:t>
      </w:r>
      <w:r w:rsidRPr="00F01A66">
        <w:rPr>
          <w:sz w:val="16"/>
          <w:szCs w:val="16"/>
        </w:rPr>
        <w:fldChar w:fldCharType="end"/>
      </w:r>
      <w:bookmarkEnd w:id="10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(N1,N2)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4</w:t>
      </w:r>
    </w:p>
    <w:p w:rsidR="006F4F1A" w:rsidRDefault="006F4F1A" w:rsidP="00F5167E">
      <w:pPr>
        <w:pStyle w:val="maintext"/>
        <w:ind w:firstLineChars="0" w:firstLine="360"/>
        <w:sectPr w:rsidR="006F4F1A" w:rsidSect="006F4F1A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3" w:space="720"/>
        </w:sectPr>
      </w:pPr>
    </w:p>
    <w:p w:rsidR="003D3E2E" w:rsidRDefault="003D3E2E" w:rsidP="002958FD">
      <w:pPr>
        <w:pStyle w:val="Heading1"/>
      </w:pPr>
      <w:bookmarkStart w:id="11" w:name="_Ref446598642"/>
      <w:r>
        <w:rPr>
          <w:rFonts w:hint="eastAsia"/>
        </w:rPr>
        <w:t>Conclusions</w:t>
      </w:r>
      <w:bookmarkEnd w:id="11"/>
    </w:p>
    <w:p w:rsidR="00117EB7" w:rsidRDefault="00E468B7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61246">
        <w:rPr>
          <w:lang w:eastAsia="ko-KR"/>
        </w:rPr>
        <w:t>simulation results are provided for DMRS based semi-open-loop transmission scheme relying on partial PMI feedback, proposed in [2]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:rsidR="001269D1" w:rsidRDefault="001269D1" w:rsidP="001269D1">
      <w:pPr>
        <w:pStyle w:val="maintext"/>
        <w:ind w:firstLineChars="0" w:firstLine="0"/>
      </w:pPr>
      <w:r>
        <w:rPr>
          <w:b/>
          <w:i/>
        </w:rPr>
        <w:t>Observation</w:t>
      </w:r>
      <w:r w:rsidRPr="00781B37">
        <w:rPr>
          <w:i/>
        </w:rPr>
        <w:t>:</w:t>
      </w:r>
    </w:p>
    <w:p w:rsidR="001269D1" w:rsidRDefault="001269D1" w:rsidP="001269D1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>Precoder cycling based semi-open-loop transmission shows significant performance gain over closed loop transmission: ~8-20% avg. UPT gain, ~18-65% 5% UPT gain.</w:t>
      </w:r>
    </w:p>
    <w:p w:rsidR="001269D1" w:rsidRPr="00075175" w:rsidRDefault="001269D1" w:rsidP="001269D1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Co-phase cycling (Scheme 2-5) achieves additional gain when compared with no co-phase cycling (Scheme 0-1): ~4-10% additional avg. UPT gain, ~15-35% additional 5% UPT gain</w:t>
      </w:r>
    </w:p>
    <w:p w:rsidR="001269D1" w:rsidRDefault="001269D1" w:rsidP="001269D1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 xml:space="preserve">RE level cycling </w:t>
      </w:r>
      <w:r>
        <w:rPr>
          <w:i/>
        </w:rPr>
        <w:t xml:space="preserve">(Schemes 3-5) </w:t>
      </w:r>
      <w:r w:rsidRPr="00075175">
        <w:rPr>
          <w:i/>
        </w:rPr>
        <w:t>achieves additional gain when compared with RB level cycling</w:t>
      </w:r>
      <w:r>
        <w:rPr>
          <w:i/>
        </w:rPr>
        <w:t xml:space="preserve"> (Scheme 2)</w:t>
      </w:r>
      <w:r w:rsidRPr="00075175">
        <w:rPr>
          <w:i/>
        </w:rPr>
        <w:t xml:space="preserve">: ~1% additional avg. UPT gain, 6-10% additional 5% UPT gain. </w:t>
      </w:r>
    </w:p>
    <w:p w:rsidR="001269D1" w:rsidRPr="00075175" w:rsidRDefault="001269D1" w:rsidP="001269D1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 xml:space="preserve">Performance of Scheme 3 (RB level beam cycling, RE level co-phase cycling) and Scheme 5 (RE level beam and co-phase cycling) are very close. </w:t>
      </w:r>
    </w:p>
    <w:p w:rsidR="001269D1" w:rsidRDefault="001269D1" w:rsidP="001269D1">
      <w:pPr>
        <w:pStyle w:val="maintext"/>
        <w:ind w:firstLineChars="0" w:firstLine="0"/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r>
        <w:rPr>
          <w:i/>
        </w:rPr>
        <w:t>Precoder cycling based semi-open-loop transmission using W1 only feedback is supported. For precoder cycling, RB level beam cycling and RE level co-phase cycling is supported.</w:t>
      </w: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056C0F" w:rsidRDefault="00D46B6B" w:rsidP="00056C0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RAN1#85, Chairman’s notes</w:t>
      </w:r>
    </w:p>
    <w:p w:rsidR="00BD363E" w:rsidRDefault="00E6387C" w:rsidP="00BD363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R1-166737, “</w:t>
      </w:r>
      <w:r w:rsidRPr="00E6387C">
        <w:rPr>
          <w:rFonts w:cs="Times New Roman"/>
          <w:lang w:eastAsia="ko-KR"/>
        </w:rPr>
        <w:t>Discussions on open and semi-open loop transmission in eFD-MIMO</w:t>
      </w:r>
      <w:r>
        <w:rPr>
          <w:rFonts w:cs="Times New Roman"/>
          <w:lang w:eastAsia="ko-KR"/>
        </w:rPr>
        <w:t>,” Samsung</w:t>
      </w:r>
    </w:p>
    <w:p w:rsidR="00BD363E" w:rsidRPr="00C369D5" w:rsidRDefault="00C369D5" w:rsidP="00727EE5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46972587"/>
      <w:r>
        <w:t>3GPP, TR36.</w:t>
      </w:r>
      <w:r w:rsidRPr="00C369D5">
        <w:rPr>
          <w:rFonts w:cs="Times New Roman"/>
        </w:rPr>
        <w:t>897v1.0.1, “Study on Elevation Beamforming/Full-Dimension (FD) MIMO for LTE”</w:t>
      </w:r>
      <w:bookmarkEnd w:id="12"/>
    </w:p>
    <w:p w:rsidR="005C054B" w:rsidRDefault="005C054B" w:rsidP="00BD363E">
      <w:pPr>
        <w:jc w:val="center"/>
        <w:rPr>
          <w:b/>
          <w:sz w:val="30"/>
          <w:szCs w:val="30"/>
        </w:rPr>
      </w:pPr>
    </w:p>
    <w:p w:rsidR="005C054B" w:rsidRDefault="005C054B" w:rsidP="00BD363E">
      <w:pPr>
        <w:jc w:val="center"/>
        <w:rPr>
          <w:b/>
          <w:sz w:val="30"/>
          <w:szCs w:val="30"/>
        </w:rPr>
      </w:pPr>
    </w:p>
    <w:p w:rsidR="00BD363E" w:rsidRDefault="00BD363E" w:rsidP="00BD363E">
      <w:pPr>
        <w:jc w:val="center"/>
        <w:rPr>
          <w:b/>
          <w:sz w:val="30"/>
          <w:szCs w:val="30"/>
        </w:rPr>
      </w:pPr>
      <w:bookmarkStart w:id="13" w:name="_GoBack"/>
      <w:bookmarkEnd w:id="13"/>
      <w:r w:rsidRPr="00EB1079">
        <w:rPr>
          <w:b/>
          <w:sz w:val="30"/>
          <w:szCs w:val="30"/>
        </w:rPr>
        <w:lastRenderedPageBreak/>
        <w:t>Appendix: Simulation Assumptions and Results</w:t>
      </w:r>
    </w:p>
    <w:p w:rsidR="00BD363E" w:rsidRDefault="00BD363E" w:rsidP="00BD363E">
      <w:pPr>
        <w:pStyle w:val="Caption"/>
        <w:keepNext/>
        <w:jc w:val="center"/>
      </w:pPr>
      <w:bookmarkStart w:id="14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2</w:t>
      </w:r>
      <w:r>
        <w:fldChar w:fldCharType="end"/>
      </w:r>
      <w:bookmarkEnd w:id="14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5763"/>
      </w:tblGrid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636CCC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Heavy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load 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7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Lambda = 3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)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636CCC" w:rsidP="00636CCC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UMa-500m (36.814)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(8,8)</w:t>
            </w:r>
            <w:r w:rsidR="00F01A66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for 16 ports and (8,16) for 32 ports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x-polarized, subarray partition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636CC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16 ports: (2,4,2) and 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32 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ports: (2,8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,2)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636CC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636CCC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:rsidR="00636CCC" w:rsidRPr="00296797" w:rsidRDefault="00636CCC" w:rsidP="00727EE5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UE speed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636CCC" w:rsidRPr="00296797" w:rsidRDefault="00636CCC" w:rsidP="00727EE5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120 kmph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CB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contextualSpacing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SU, Proportional fair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SB scheduling (SB = 4 PRBs)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Ideal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:rsidR="00BD363E" w:rsidRPr="00296797" w:rsidRDefault="00BD363E" w:rsidP="00727EE5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BD363E" w:rsidRPr="00296797" w:rsidRDefault="00636CCC" w:rsidP="00296797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Rel. 13 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Class A: 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="00BD363E"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="00BD363E"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(8,8)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</w:t>
            </w:r>
            <w:r w:rsidR="00BD363E"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Codebook-Config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= 2,3,4</w:t>
            </w:r>
          </w:p>
        </w:tc>
      </w:tr>
    </w:tbl>
    <w:p w:rsidR="00626DBF" w:rsidRDefault="00626DBF" w:rsidP="00BD363E">
      <w:pPr>
        <w:pStyle w:val="Caption"/>
        <w:keepNext/>
        <w:jc w:val="center"/>
      </w:pPr>
      <w:bookmarkStart w:id="15" w:name="_Ref458615945"/>
    </w:p>
    <w:p w:rsidR="00BD363E" w:rsidRDefault="00BD363E" w:rsidP="00BD363E">
      <w:pPr>
        <w:pStyle w:val="Caption"/>
        <w:keepNext/>
        <w:jc w:val="center"/>
      </w:pPr>
      <w:bookmarkStart w:id="16" w:name="_Ref4586692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3</w:t>
      </w:r>
      <w:r>
        <w:fldChar w:fldCharType="end"/>
      </w:r>
      <w:bookmarkEnd w:id="15"/>
      <w:bookmarkEnd w:id="16"/>
      <w:r>
        <w:t>: Non-</w:t>
      </w:r>
      <w:r w:rsidR="00636CCC">
        <w:t>full buffer simulation results</w:t>
      </w:r>
      <w:r w:rsidR="00264B0A">
        <w:t>: 16 ports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581"/>
        <w:gridCol w:w="934"/>
        <w:gridCol w:w="944"/>
        <w:gridCol w:w="993"/>
        <w:gridCol w:w="905"/>
        <w:gridCol w:w="631"/>
        <w:gridCol w:w="1313"/>
        <w:gridCol w:w="1362"/>
        <w:gridCol w:w="1192"/>
      </w:tblGrid>
      <w:tr w:rsidR="00144600" w:rsidRPr="00A666AC" w:rsidTr="00D22853">
        <w:trPr>
          <w:trHeight w:val="480"/>
          <w:jc w:val="center"/>
        </w:trPr>
        <w:tc>
          <w:tcPr>
            <w:tcW w:w="797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Codebook-Config</w:t>
            </w:r>
          </w:p>
        </w:tc>
        <w:tc>
          <w:tcPr>
            <w:tcW w:w="469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74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499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54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320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661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686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641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 w:val="restart"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74" w:type="pct"/>
            <w:vAlign w:val="center"/>
            <w:hideMark/>
          </w:tcPr>
          <w:p w:rsidR="00A47D34" w:rsidRPr="004B11BD" w:rsidRDefault="00A47D34" w:rsidP="00A47D34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A47D34">
              <w:rPr>
                <w:color w:val="000000"/>
                <w:sz w:val="16"/>
                <w:szCs w:val="16"/>
              </w:rPr>
              <w:t>10.56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8.60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1.67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66.6%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A47D34" w:rsidRPr="004B11BD" w:rsidRDefault="00A47D34" w:rsidP="00A47D34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9.71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2.10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63.5%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110.5%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113.0%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126.0%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9.74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2.11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63.4%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110.5%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113.3%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126.5%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12.43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10.82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60.1%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117.8%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125.8%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151.5%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12.51</w:t>
            </w:r>
          </w:p>
        </w:tc>
        <w:tc>
          <w:tcPr>
            <w:tcW w:w="504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45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2.69</w:t>
            </w:r>
          </w:p>
        </w:tc>
        <w:tc>
          <w:tcPr>
            <w:tcW w:w="2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59.9%</w:t>
            </w:r>
          </w:p>
        </w:tc>
        <w:tc>
          <w:tcPr>
            <w:tcW w:w="66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118.5%</w:t>
            </w:r>
          </w:p>
        </w:tc>
        <w:tc>
          <w:tcPr>
            <w:tcW w:w="691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126.0%</w:t>
            </w:r>
          </w:p>
        </w:tc>
        <w:tc>
          <w:tcPr>
            <w:tcW w:w="64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161.2%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12.46</w:t>
            </w:r>
          </w:p>
        </w:tc>
        <w:tc>
          <w:tcPr>
            <w:tcW w:w="504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45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2.62</w:t>
            </w:r>
          </w:p>
        </w:tc>
        <w:tc>
          <w:tcPr>
            <w:tcW w:w="2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60.0%</w:t>
            </w:r>
          </w:p>
        </w:tc>
        <w:tc>
          <w:tcPr>
            <w:tcW w:w="66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118.0%</w:t>
            </w:r>
          </w:p>
        </w:tc>
        <w:tc>
          <w:tcPr>
            <w:tcW w:w="691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125.9%</w:t>
            </w:r>
          </w:p>
        </w:tc>
        <w:tc>
          <w:tcPr>
            <w:tcW w:w="64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157.2%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12.52</w:t>
            </w:r>
          </w:p>
        </w:tc>
        <w:tc>
          <w:tcPr>
            <w:tcW w:w="504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10.89</w:t>
            </w:r>
          </w:p>
        </w:tc>
        <w:tc>
          <w:tcPr>
            <w:tcW w:w="45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2.64</w:t>
            </w:r>
          </w:p>
        </w:tc>
        <w:tc>
          <w:tcPr>
            <w:tcW w:w="2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59.8%</w:t>
            </w:r>
          </w:p>
        </w:tc>
        <w:tc>
          <w:tcPr>
            <w:tcW w:w="66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118.6%</w:t>
            </w:r>
          </w:p>
        </w:tc>
        <w:tc>
          <w:tcPr>
            <w:tcW w:w="691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126.6%</w:t>
            </w:r>
          </w:p>
        </w:tc>
        <w:tc>
          <w:tcPr>
            <w:tcW w:w="64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158.2%</w:t>
            </w:r>
          </w:p>
        </w:tc>
      </w:tr>
      <w:tr w:rsidR="00D22853" w:rsidRPr="00A666AC" w:rsidTr="00A47D34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10.46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8.47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1.62</w:t>
            </w:r>
          </w:p>
        </w:tc>
        <w:tc>
          <w:tcPr>
            <w:tcW w:w="27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66.9%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11.43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9.42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2.01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64.1%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109.3%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111.3%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124.2%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11.58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9.52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2.12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63.5%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110.7%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112.5%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130.8%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10.66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2.54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60.5%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117.9%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125.9%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156.3%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12.43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10.85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2.65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60.1%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118.8%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128.2%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163.6%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12.34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10.71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2.58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60.3%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118.0%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126.5%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158.9%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12.38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2.65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60.1%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118.4%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126.6%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163.4%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 w:val="restart"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10.40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8.48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1.59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67.1%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11.48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9.39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2.07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64.0%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110.4%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110.8%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130.8%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11.51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9.55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2.05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63.8%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110.7%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112.7%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129.2%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12.29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2.51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60.6%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118.2%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125.5%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158.2%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12.34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2.64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60.4%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118.7%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126.8%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166.6%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12.32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10.62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60.5%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118.5%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125.3%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161.7%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12.37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10.621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2.63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60.2%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119.0%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125.3%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165.8%</w:t>
            </w:r>
          </w:p>
        </w:tc>
      </w:tr>
    </w:tbl>
    <w:p w:rsidR="00BD363E" w:rsidRDefault="00BD363E" w:rsidP="00BD363E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p w:rsidR="00264B0A" w:rsidRDefault="00264B0A" w:rsidP="00264B0A">
      <w:pPr>
        <w:pStyle w:val="Caption"/>
        <w:keepNext/>
        <w:jc w:val="center"/>
      </w:pPr>
      <w:bookmarkStart w:id="17" w:name="_Ref4586692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4</w:t>
      </w:r>
      <w:r>
        <w:fldChar w:fldCharType="end"/>
      </w:r>
      <w:bookmarkEnd w:id="17"/>
      <w:r>
        <w:t>: Non-full buffer simulation results: 32 ports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581"/>
        <w:gridCol w:w="934"/>
        <w:gridCol w:w="944"/>
        <w:gridCol w:w="993"/>
        <w:gridCol w:w="905"/>
        <w:gridCol w:w="631"/>
        <w:gridCol w:w="1313"/>
        <w:gridCol w:w="1362"/>
        <w:gridCol w:w="1192"/>
      </w:tblGrid>
      <w:tr w:rsidR="00264B0A" w:rsidRPr="00A666AC" w:rsidTr="00D22853">
        <w:trPr>
          <w:trHeight w:val="480"/>
          <w:jc w:val="center"/>
        </w:trPr>
        <w:tc>
          <w:tcPr>
            <w:tcW w:w="797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Codebook-Config</w:t>
            </w:r>
          </w:p>
        </w:tc>
        <w:tc>
          <w:tcPr>
            <w:tcW w:w="469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74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499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54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320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661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1667E2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Avg.</w:t>
            </w:r>
            <w:r w:rsidR="00264B0A"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686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641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 w:val="restart"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74" w:type="pct"/>
            <w:vAlign w:val="center"/>
            <w:hideMark/>
          </w:tcPr>
          <w:p w:rsidR="00560D3A" w:rsidRPr="004B11BD" w:rsidRDefault="00560D3A" w:rsidP="00560D3A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560D3A">
              <w:rPr>
                <w:color w:val="000000"/>
                <w:sz w:val="16"/>
                <w:szCs w:val="16"/>
              </w:rPr>
              <w:t>13.32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11.89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3.09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56.7%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560D3A" w:rsidRPr="004B11BD" w:rsidRDefault="00560D3A" w:rsidP="00560D3A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13.17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54.0%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108.4%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110.8%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118.8%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13.17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54.0%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108.4%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110.8%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118.8%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14.88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111.7%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114.9%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14.90</w:t>
            </w:r>
          </w:p>
        </w:tc>
        <w:tc>
          <w:tcPr>
            <w:tcW w:w="504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13.71</w:t>
            </w:r>
          </w:p>
        </w:tc>
        <w:tc>
          <w:tcPr>
            <w:tcW w:w="45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52.2%</w:t>
            </w:r>
          </w:p>
        </w:tc>
        <w:tc>
          <w:tcPr>
            <w:tcW w:w="66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111.9%</w:t>
            </w:r>
          </w:p>
        </w:tc>
        <w:tc>
          <w:tcPr>
            <w:tcW w:w="691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115.4%</w:t>
            </w:r>
          </w:p>
        </w:tc>
        <w:tc>
          <w:tcPr>
            <w:tcW w:w="64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136.9%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14.88</w:t>
            </w:r>
          </w:p>
        </w:tc>
        <w:tc>
          <w:tcPr>
            <w:tcW w:w="504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45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111.7%</w:t>
            </w:r>
          </w:p>
        </w:tc>
        <w:tc>
          <w:tcPr>
            <w:tcW w:w="691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114.9%</w:t>
            </w:r>
          </w:p>
        </w:tc>
        <w:tc>
          <w:tcPr>
            <w:tcW w:w="64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14.90</w:t>
            </w:r>
          </w:p>
        </w:tc>
        <w:tc>
          <w:tcPr>
            <w:tcW w:w="504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13.71</w:t>
            </w:r>
          </w:p>
        </w:tc>
        <w:tc>
          <w:tcPr>
            <w:tcW w:w="45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52.2%</w:t>
            </w:r>
          </w:p>
        </w:tc>
        <w:tc>
          <w:tcPr>
            <w:tcW w:w="66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111.9%</w:t>
            </w:r>
          </w:p>
        </w:tc>
        <w:tc>
          <w:tcPr>
            <w:tcW w:w="691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115.4%</w:t>
            </w:r>
          </w:p>
        </w:tc>
        <w:tc>
          <w:tcPr>
            <w:tcW w:w="64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136.9%</w:t>
            </w:r>
          </w:p>
        </w:tc>
      </w:tr>
      <w:tr w:rsidR="00D22853" w:rsidRPr="00A666AC" w:rsidTr="00560D3A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13.28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11.86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3.13</w:t>
            </w:r>
          </w:p>
        </w:tc>
        <w:tc>
          <w:tcPr>
            <w:tcW w:w="27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56.7%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13.20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3.73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54.2%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108.2%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111.3%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119.2%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12.98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3.68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54.2%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108.2%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109.4%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117.7%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14.79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4.09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111.4%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114.8%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130.7%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14.81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13.57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4.20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114.5%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134.2%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14.81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13.51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111.5%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113.9%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132.9%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13.67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4.22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115.3%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134.7%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 w:val="restart"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13.19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3.00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57.0%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14.27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12.90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54.5%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108.2%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110.5%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122.0%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14.31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13.02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3.65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54.2%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108.5%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111.4%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121.8%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14.69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13.48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4.03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52.9%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111.3%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115.4%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134.4%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14.73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13.45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115.1%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139.4%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14.72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52.7%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111.5%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116.2%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138.6%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14.72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13.51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115.7%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138.7%</w:t>
            </w:r>
          </w:p>
        </w:tc>
      </w:tr>
    </w:tbl>
    <w:p w:rsidR="00264B0A" w:rsidRPr="00BD363E" w:rsidRDefault="00264B0A" w:rsidP="00BD363E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264B0A" w:rsidRPr="00BD363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852" w:rsidRDefault="005F6852">
      <w:r>
        <w:separator/>
      </w:r>
    </w:p>
  </w:endnote>
  <w:endnote w:type="continuationSeparator" w:id="0">
    <w:p w:rsidR="005F6852" w:rsidRDefault="005F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852" w:rsidRDefault="005F6852">
      <w:r>
        <w:separator/>
      </w:r>
    </w:p>
  </w:footnote>
  <w:footnote w:type="continuationSeparator" w:id="0">
    <w:p w:rsidR="005F6852" w:rsidRDefault="005F6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EE5" w:rsidRDefault="00727EE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24371A30"/>
    <w:multiLevelType w:val="hybridMultilevel"/>
    <w:tmpl w:val="7D00E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E076B"/>
    <w:multiLevelType w:val="hybridMultilevel"/>
    <w:tmpl w:val="73F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 w15:restartNumberingAfterBreak="0">
    <w:nsid w:val="372671FC"/>
    <w:multiLevelType w:val="hybridMultilevel"/>
    <w:tmpl w:val="46AA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3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C58AC"/>
    <w:multiLevelType w:val="hybridMultilevel"/>
    <w:tmpl w:val="1FC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6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7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0132CC"/>
    <w:multiLevelType w:val="hybridMultilevel"/>
    <w:tmpl w:val="12FC9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9"/>
  </w:num>
  <w:num w:numId="4">
    <w:abstractNumId w:val="38"/>
  </w:num>
  <w:num w:numId="5">
    <w:abstractNumId w:val="3"/>
  </w:num>
  <w:num w:numId="6">
    <w:abstractNumId w:val="32"/>
  </w:num>
  <w:num w:numId="7">
    <w:abstractNumId w:val="19"/>
  </w:num>
  <w:num w:numId="8">
    <w:abstractNumId w:val="35"/>
  </w:num>
  <w:num w:numId="9">
    <w:abstractNumId w:val="28"/>
  </w:num>
  <w:num w:numId="10">
    <w:abstractNumId w:val="13"/>
  </w:num>
  <w:num w:numId="11">
    <w:abstractNumId w:val="31"/>
  </w:num>
  <w:num w:numId="12">
    <w:abstractNumId w:val="0"/>
  </w:num>
  <w:num w:numId="13">
    <w:abstractNumId w:val="9"/>
  </w:num>
  <w:num w:numId="14">
    <w:abstractNumId w:val="5"/>
  </w:num>
  <w:num w:numId="15">
    <w:abstractNumId w:val="10"/>
  </w:num>
  <w:num w:numId="16">
    <w:abstractNumId w:val="23"/>
  </w:num>
  <w:num w:numId="17">
    <w:abstractNumId w:val="26"/>
  </w:num>
  <w:num w:numId="18">
    <w:abstractNumId w:val="11"/>
  </w:num>
  <w:num w:numId="19">
    <w:abstractNumId w:val="6"/>
  </w:num>
  <w:num w:numId="20">
    <w:abstractNumId w:val="24"/>
  </w:num>
  <w:num w:numId="21">
    <w:abstractNumId w:val="15"/>
  </w:num>
  <w:num w:numId="22">
    <w:abstractNumId w:val="1"/>
  </w:num>
  <w:num w:numId="23">
    <w:abstractNumId w:val="2"/>
  </w:num>
  <w:num w:numId="24">
    <w:abstractNumId w:val="37"/>
  </w:num>
  <w:num w:numId="25">
    <w:abstractNumId w:val="33"/>
  </w:num>
  <w:num w:numId="26">
    <w:abstractNumId w:val="30"/>
  </w:num>
  <w:num w:numId="27">
    <w:abstractNumId w:val="18"/>
  </w:num>
  <w:num w:numId="28">
    <w:abstractNumId w:val="8"/>
  </w:num>
  <w:num w:numId="29">
    <w:abstractNumId w:val="17"/>
  </w:num>
  <w:num w:numId="30">
    <w:abstractNumId w:val="27"/>
  </w:num>
  <w:num w:numId="31">
    <w:abstractNumId w:val="36"/>
  </w:num>
  <w:num w:numId="32">
    <w:abstractNumId w:val="25"/>
  </w:num>
  <w:num w:numId="33">
    <w:abstractNumId w:val="39"/>
  </w:num>
  <w:num w:numId="34">
    <w:abstractNumId w:val="14"/>
  </w:num>
  <w:num w:numId="35">
    <w:abstractNumId w:val="34"/>
  </w:num>
  <w:num w:numId="36">
    <w:abstractNumId w:val="20"/>
  </w:num>
  <w:num w:numId="37">
    <w:abstractNumId w:val="4"/>
  </w:num>
  <w:num w:numId="38">
    <w:abstractNumId w:val="22"/>
  </w:num>
  <w:num w:numId="39">
    <w:abstractNumId w:val="21"/>
  </w:num>
  <w:num w:numId="4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3C42"/>
    <w:rsid w:val="00075175"/>
    <w:rsid w:val="000755B5"/>
    <w:rsid w:val="00076FF5"/>
    <w:rsid w:val="000775AB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A1D31"/>
    <w:rsid w:val="000A26F4"/>
    <w:rsid w:val="000A2AEF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4049"/>
    <w:rsid w:val="000C650F"/>
    <w:rsid w:val="000D00DD"/>
    <w:rsid w:val="000D095B"/>
    <w:rsid w:val="000D1026"/>
    <w:rsid w:val="000D19F4"/>
    <w:rsid w:val="000D25AC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69D1"/>
    <w:rsid w:val="00127AAA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4600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4498"/>
    <w:rsid w:val="001649A0"/>
    <w:rsid w:val="0016551E"/>
    <w:rsid w:val="001667E2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36E1"/>
    <w:rsid w:val="00184848"/>
    <w:rsid w:val="001850D6"/>
    <w:rsid w:val="00186FB0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0FAC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B0A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797"/>
    <w:rsid w:val="00296E64"/>
    <w:rsid w:val="002A0C8F"/>
    <w:rsid w:val="002A1E47"/>
    <w:rsid w:val="002A3A3D"/>
    <w:rsid w:val="002A74D6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3802"/>
    <w:rsid w:val="002D488B"/>
    <w:rsid w:val="002D53AF"/>
    <w:rsid w:val="002D5B2B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E6DE8"/>
    <w:rsid w:val="002F00C5"/>
    <w:rsid w:val="002F28D8"/>
    <w:rsid w:val="002F2F5B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437D"/>
    <w:rsid w:val="00344711"/>
    <w:rsid w:val="003447C2"/>
    <w:rsid w:val="00344954"/>
    <w:rsid w:val="00345DEA"/>
    <w:rsid w:val="003476A1"/>
    <w:rsid w:val="003514CD"/>
    <w:rsid w:val="003524BB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4785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D5B"/>
    <w:rsid w:val="0040329D"/>
    <w:rsid w:val="00404B4A"/>
    <w:rsid w:val="00405213"/>
    <w:rsid w:val="0040633D"/>
    <w:rsid w:val="004107E6"/>
    <w:rsid w:val="00412AB3"/>
    <w:rsid w:val="00413E2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108A"/>
    <w:rsid w:val="004D10F3"/>
    <w:rsid w:val="004D111C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94A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0D3A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2F6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743"/>
    <w:rsid w:val="005B2ADD"/>
    <w:rsid w:val="005B2AE8"/>
    <w:rsid w:val="005B334E"/>
    <w:rsid w:val="005B33D7"/>
    <w:rsid w:val="005B3F28"/>
    <w:rsid w:val="005B5915"/>
    <w:rsid w:val="005B5C71"/>
    <w:rsid w:val="005C054B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852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7EF"/>
    <w:rsid w:val="00607327"/>
    <w:rsid w:val="006078B5"/>
    <w:rsid w:val="0061391A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6DBF"/>
    <w:rsid w:val="00627509"/>
    <w:rsid w:val="00630E9A"/>
    <w:rsid w:val="0063186E"/>
    <w:rsid w:val="00631C9C"/>
    <w:rsid w:val="00632AE4"/>
    <w:rsid w:val="0063477E"/>
    <w:rsid w:val="00634989"/>
    <w:rsid w:val="00636CCC"/>
    <w:rsid w:val="006377FF"/>
    <w:rsid w:val="00641F41"/>
    <w:rsid w:val="00642A83"/>
    <w:rsid w:val="00643083"/>
    <w:rsid w:val="006458B7"/>
    <w:rsid w:val="00645E63"/>
    <w:rsid w:val="00646DBE"/>
    <w:rsid w:val="00647880"/>
    <w:rsid w:val="00647E89"/>
    <w:rsid w:val="0065003C"/>
    <w:rsid w:val="0065048F"/>
    <w:rsid w:val="00651389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4BD2"/>
    <w:rsid w:val="006F4D44"/>
    <w:rsid w:val="006F4D8E"/>
    <w:rsid w:val="006F4F1A"/>
    <w:rsid w:val="006F6995"/>
    <w:rsid w:val="006F6EF9"/>
    <w:rsid w:val="006F79E1"/>
    <w:rsid w:val="006F7BCF"/>
    <w:rsid w:val="00700C54"/>
    <w:rsid w:val="0070274F"/>
    <w:rsid w:val="00705B9C"/>
    <w:rsid w:val="00706011"/>
    <w:rsid w:val="0070636F"/>
    <w:rsid w:val="00707D33"/>
    <w:rsid w:val="0071081E"/>
    <w:rsid w:val="007110E6"/>
    <w:rsid w:val="0071170B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EE5"/>
    <w:rsid w:val="007321FF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2839"/>
    <w:rsid w:val="007658A6"/>
    <w:rsid w:val="00766BA8"/>
    <w:rsid w:val="00771F90"/>
    <w:rsid w:val="0077429E"/>
    <w:rsid w:val="00774491"/>
    <w:rsid w:val="00774783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B1C28"/>
    <w:rsid w:val="007B299C"/>
    <w:rsid w:val="007B2A97"/>
    <w:rsid w:val="007B398E"/>
    <w:rsid w:val="007B3ED7"/>
    <w:rsid w:val="007B49B4"/>
    <w:rsid w:val="007B6146"/>
    <w:rsid w:val="007B7FE6"/>
    <w:rsid w:val="007C0DB2"/>
    <w:rsid w:val="007C1FEB"/>
    <w:rsid w:val="007C25EB"/>
    <w:rsid w:val="007C3BF0"/>
    <w:rsid w:val="007C5842"/>
    <w:rsid w:val="007C6231"/>
    <w:rsid w:val="007C70A5"/>
    <w:rsid w:val="007C7CD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22B88"/>
    <w:rsid w:val="00822F8F"/>
    <w:rsid w:val="00824242"/>
    <w:rsid w:val="0082435C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435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4D79"/>
    <w:rsid w:val="008C5D63"/>
    <w:rsid w:val="008C7A40"/>
    <w:rsid w:val="008D324A"/>
    <w:rsid w:val="008D390E"/>
    <w:rsid w:val="008D46B0"/>
    <w:rsid w:val="008D5A50"/>
    <w:rsid w:val="008D5BAB"/>
    <w:rsid w:val="008E00EE"/>
    <w:rsid w:val="008E0543"/>
    <w:rsid w:val="008E1091"/>
    <w:rsid w:val="008E158C"/>
    <w:rsid w:val="008E1CBB"/>
    <w:rsid w:val="008E1EB9"/>
    <w:rsid w:val="008E38AD"/>
    <w:rsid w:val="008E686B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365E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31E59"/>
    <w:rsid w:val="009322F2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1820"/>
    <w:rsid w:val="0096225A"/>
    <w:rsid w:val="009623EE"/>
    <w:rsid w:val="00964FE6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19E6"/>
    <w:rsid w:val="009E2872"/>
    <w:rsid w:val="009E4A14"/>
    <w:rsid w:val="009E753A"/>
    <w:rsid w:val="009F0D5B"/>
    <w:rsid w:val="009F1A2B"/>
    <w:rsid w:val="009F307D"/>
    <w:rsid w:val="009F34AE"/>
    <w:rsid w:val="009F451D"/>
    <w:rsid w:val="009F46B7"/>
    <w:rsid w:val="009F5246"/>
    <w:rsid w:val="009F5B4F"/>
    <w:rsid w:val="00A02D0F"/>
    <w:rsid w:val="00A0774C"/>
    <w:rsid w:val="00A10587"/>
    <w:rsid w:val="00A109F3"/>
    <w:rsid w:val="00A10FCC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5CA0"/>
    <w:rsid w:val="00A4626E"/>
    <w:rsid w:val="00A471C4"/>
    <w:rsid w:val="00A47A1D"/>
    <w:rsid w:val="00A47A54"/>
    <w:rsid w:val="00A47D34"/>
    <w:rsid w:val="00A51FC5"/>
    <w:rsid w:val="00A54D83"/>
    <w:rsid w:val="00A5697C"/>
    <w:rsid w:val="00A60A1B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C0A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17F5F"/>
    <w:rsid w:val="00B202C2"/>
    <w:rsid w:val="00B202F1"/>
    <w:rsid w:val="00B205A5"/>
    <w:rsid w:val="00B2075D"/>
    <w:rsid w:val="00B2265E"/>
    <w:rsid w:val="00B2681C"/>
    <w:rsid w:val="00B31BF1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3CAA"/>
    <w:rsid w:val="00B848C9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63E"/>
    <w:rsid w:val="00BD3890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9D2"/>
    <w:rsid w:val="00C369D5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246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4CA1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6BC2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00A3"/>
    <w:rsid w:val="00D21563"/>
    <w:rsid w:val="00D22853"/>
    <w:rsid w:val="00D22CEF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8E4"/>
    <w:rsid w:val="00D40DAB"/>
    <w:rsid w:val="00D4171F"/>
    <w:rsid w:val="00D46B6B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05F"/>
    <w:rsid w:val="00D8023F"/>
    <w:rsid w:val="00D82B0E"/>
    <w:rsid w:val="00D83441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714A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87C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D00DE"/>
    <w:rsid w:val="00ED048F"/>
    <w:rsid w:val="00ED0992"/>
    <w:rsid w:val="00ED0A8D"/>
    <w:rsid w:val="00ED135E"/>
    <w:rsid w:val="00ED337E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A66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67AB"/>
    <w:rsid w:val="00F370D1"/>
    <w:rsid w:val="00F42901"/>
    <w:rsid w:val="00F42A56"/>
    <w:rsid w:val="00F45E58"/>
    <w:rsid w:val="00F46173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19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E33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34F36C-11C9-4A3D-A79C-7BE35EB0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table" w:styleId="GridTable4">
    <w:name w:val="Grid Table 4"/>
    <w:basedOn w:val="TableNormal"/>
    <w:uiPriority w:val="49"/>
    <w:rsid w:val="0065048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1.104679802955665</c:v>
                </c:pt>
                <c:pt idx="1">
                  <c:v>1.2599039615846341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1.1049640015157256</c:v>
                </c:pt>
                <c:pt idx="1">
                  <c:v>1.2653061224489797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1.1777188328912469</c:v>
                </c:pt>
                <c:pt idx="1">
                  <c:v>1.5150060024009604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1.184729064039409</c:v>
                </c:pt>
                <c:pt idx="1">
                  <c:v>1.6122448979591837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1.1804660856384996</c:v>
                </c:pt>
                <c:pt idx="1">
                  <c:v>1.5720288115246099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1.1857711254262979</c:v>
                </c:pt>
                <c:pt idx="1">
                  <c:v>1.5822328931572631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4816264"/>
        <c:axId val="474815480"/>
      </c:barChart>
      <c:catAx>
        <c:axId val="474816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4815480"/>
        <c:crosses val="autoZero"/>
        <c:auto val="1"/>
        <c:lblAlgn val="ctr"/>
        <c:lblOffset val="100"/>
        <c:noMultiLvlLbl val="0"/>
      </c:catAx>
      <c:valAx>
        <c:axId val="474815480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4816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1.0931433489528544</c:v>
                </c:pt>
                <c:pt idx="1">
                  <c:v>1.2416769420468554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1.1070096586018934</c:v>
                </c:pt>
                <c:pt idx="1">
                  <c:v>1.3082614056720097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1.1790188390551783</c:v>
                </c:pt>
                <c:pt idx="1">
                  <c:v>1.5628853267570899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1.1882949220617767</c:v>
                </c:pt>
                <c:pt idx="1">
                  <c:v>1.6356350184956843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1.1801663957157884</c:v>
                </c:pt>
                <c:pt idx="1">
                  <c:v>1.5893958076448826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1.1841828440279236</c:v>
                </c:pt>
                <c:pt idx="1">
                  <c:v>1.6337854500616522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4814304"/>
        <c:axId val="474814696"/>
      </c:barChart>
      <c:catAx>
        <c:axId val="4748143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4814696"/>
        <c:crosses val="autoZero"/>
        <c:auto val="1"/>
        <c:lblAlgn val="ctr"/>
        <c:lblOffset val="100"/>
        <c:noMultiLvlLbl val="0"/>
      </c:catAx>
      <c:valAx>
        <c:axId val="474814696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48143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1.1041646628835242</c:v>
                </c:pt>
                <c:pt idx="1">
                  <c:v>1.3076923076923075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1.1074348369722034</c:v>
                </c:pt>
                <c:pt idx="1">
                  <c:v>1.2919293820933164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1.1815908435125517</c:v>
                </c:pt>
                <c:pt idx="1">
                  <c:v>1.581967213114754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1.1869770125997883</c:v>
                </c:pt>
                <c:pt idx="1">
                  <c:v>1.665825977301387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1.1851495623737616</c:v>
                </c:pt>
                <c:pt idx="1">
                  <c:v>1.6166456494325345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1.1900548235067807</c:v>
                </c:pt>
                <c:pt idx="1">
                  <c:v>1.6576292559899117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5171752"/>
        <c:axId val="485174496"/>
      </c:barChart>
      <c:catAx>
        <c:axId val="485171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5174496"/>
        <c:crosses val="autoZero"/>
        <c:auto val="1"/>
        <c:lblAlgn val="ctr"/>
        <c:lblOffset val="100"/>
        <c:noMultiLvlLbl val="0"/>
      </c:catAx>
      <c:valAx>
        <c:axId val="485174496"/>
        <c:scaling>
          <c:orientation val="minMax"/>
          <c:max val="1.700000000000000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51717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1.0821536144578314</c:v>
                </c:pt>
                <c:pt idx="1">
                  <c:v>1.1917545541706616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1.0817018072289157</c:v>
                </c:pt>
                <c:pt idx="1">
                  <c:v>1.1767337807606264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1.1140060240963856</c:v>
                </c:pt>
                <c:pt idx="1">
                  <c:v>1.307446468520294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1.1155120481927712</c:v>
                </c:pt>
                <c:pt idx="1">
                  <c:v>1.3419622882710132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1.115210843373494</c:v>
                </c:pt>
                <c:pt idx="1">
                  <c:v>1.3291786513263022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1.1164909638554217</c:v>
                </c:pt>
                <c:pt idx="1">
                  <c:v>1.3470757430488973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5175280"/>
        <c:axId val="485172144"/>
      </c:barChart>
      <c:catAx>
        <c:axId val="485175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5172144"/>
        <c:crosses val="autoZero"/>
        <c:auto val="1"/>
        <c:lblAlgn val="ctr"/>
        <c:lblOffset val="100"/>
        <c:noMultiLvlLbl val="0"/>
      </c:catAx>
      <c:valAx>
        <c:axId val="485172144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51752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1.0817857954976124</c:v>
                </c:pt>
                <c:pt idx="1">
                  <c:v>1.22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1.084666110816342</c:v>
                </c:pt>
                <c:pt idx="1">
                  <c:v>1.218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1.1131660729174562</c:v>
                </c:pt>
                <c:pt idx="1">
                  <c:v>1.3440000000000001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1.1161221860077313</c:v>
                </c:pt>
                <c:pt idx="1">
                  <c:v>1.3940000000000001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1.1154400060638217</c:v>
                </c:pt>
                <c:pt idx="1">
                  <c:v>1.3856666666666666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1.1158947926930949</c:v>
                </c:pt>
                <c:pt idx="1">
                  <c:v>1.3873333333333333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5173320"/>
        <c:axId val="485172536"/>
      </c:barChart>
      <c:catAx>
        <c:axId val="485173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5172536"/>
        <c:crosses val="autoZero"/>
        <c:auto val="1"/>
        <c:lblAlgn val="ctr"/>
        <c:lblOffset val="100"/>
        <c:noMultiLvlLbl val="0"/>
      </c:catAx>
      <c:valAx>
        <c:axId val="485172536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5173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1.0792761414401453</c:v>
                </c:pt>
                <c:pt idx="1">
                  <c:v>1.1739853626081171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1.0817748163852503</c:v>
                </c:pt>
                <c:pt idx="1">
                  <c:v>1.223552894211577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1.1106231543878244</c:v>
                </c:pt>
                <c:pt idx="1">
                  <c:v>1.339654025282768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1.11380328613614</c:v>
                </c:pt>
                <c:pt idx="1">
                  <c:v>1.3632734530938124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1.1110774589232981</c:v>
                </c:pt>
                <c:pt idx="1">
                  <c:v>1.359946773120426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1.1127432422200347</c:v>
                </c:pt>
                <c:pt idx="1">
                  <c:v>1.3729208250166334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7818504"/>
        <c:axId val="477819680"/>
      </c:barChart>
      <c:catAx>
        <c:axId val="477818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7819680"/>
        <c:crosses val="autoZero"/>
        <c:auto val="1"/>
        <c:lblAlgn val="ctr"/>
        <c:lblOffset val="100"/>
        <c:noMultiLvlLbl val="0"/>
      </c:catAx>
      <c:valAx>
        <c:axId val="477819680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7818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8D4FD-5BC0-46A4-9489-A90224AF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6</Pages>
  <Words>1730</Words>
  <Characters>9861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103</cp:revision>
  <cp:lastPrinted>2012-03-15T10:36:00Z</cp:lastPrinted>
  <dcterms:created xsi:type="dcterms:W3CDTF">2016-05-13T14:43:00Z</dcterms:created>
  <dcterms:modified xsi:type="dcterms:W3CDTF">2016-08-12T21:25:00Z</dcterms:modified>
</cp:coreProperties>
</file>